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4CF43020"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8C2C52">
        <w:rPr>
          <w:rFonts w:cs="Arial"/>
          <w:b/>
          <w:bCs/>
          <w:sz w:val="24"/>
          <w:szCs w:val="24"/>
        </w:rPr>
        <w:t>4</w:t>
      </w:r>
      <w:r w:rsidR="00716B86" w:rsidRPr="00716B86">
        <w:rPr>
          <w:rFonts w:cs="Arial"/>
          <w:b/>
          <w:bCs/>
          <w:sz w:val="24"/>
          <w:szCs w:val="24"/>
        </w:rPr>
        <w:tab/>
      </w:r>
      <w:r w:rsidR="00773E2C" w:rsidRPr="00773E2C">
        <w:rPr>
          <w:rFonts w:cs="Arial"/>
          <w:b/>
          <w:bCs/>
          <w:i/>
          <w:sz w:val="24"/>
          <w:szCs w:val="24"/>
        </w:rPr>
        <w:t>R2-2313079</w:t>
      </w:r>
    </w:p>
    <w:p w14:paraId="537142BC" w14:textId="6465C092" w:rsidR="00CE6183" w:rsidRPr="00557614" w:rsidRDefault="008C2C52" w:rsidP="00CE6183">
      <w:pPr>
        <w:tabs>
          <w:tab w:val="left" w:pos="1985"/>
          <w:tab w:val="right" w:pos="9639"/>
        </w:tabs>
        <w:spacing w:after="100" w:afterAutospacing="1"/>
        <w:rPr>
          <w:rFonts w:ascii="Arial" w:hAnsi="Arial" w:cs="Arial"/>
          <w:b/>
          <w:sz w:val="24"/>
          <w:szCs w:val="24"/>
        </w:rPr>
      </w:pPr>
      <w:r w:rsidRPr="008C2C52">
        <w:rPr>
          <w:rFonts w:ascii="Arial" w:hAnsi="Arial" w:cs="Arial"/>
          <w:b/>
          <w:sz w:val="24"/>
          <w:szCs w:val="24"/>
        </w:rPr>
        <w:t>Chicago, USA, 13</w:t>
      </w:r>
      <w:r w:rsidR="00386D70">
        <w:rPr>
          <w:rFonts w:ascii="Arial" w:hAnsi="Arial" w:cs="Arial"/>
          <w:b/>
          <w:sz w:val="24"/>
          <w:szCs w:val="24"/>
        </w:rPr>
        <w:t xml:space="preserve"> - 17</w:t>
      </w:r>
      <w:r w:rsidRPr="008C2C52">
        <w:rPr>
          <w:rFonts w:ascii="Arial" w:hAnsi="Arial" w:cs="Arial"/>
          <w:b/>
          <w:sz w:val="24"/>
          <w:szCs w:val="24"/>
        </w:rPr>
        <w:t xml:space="preserve"> Nov</w:t>
      </w:r>
      <w:r w:rsidR="00386D70">
        <w:rPr>
          <w:rFonts w:ascii="Arial" w:hAnsi="Arial" w:cs="Arial"/>
          <w:b/>
          <w:sz w:val="24"/>
          <w:szCs w:val="24"/>
        </w:rPr>
        <w:t>,</w:t>
      </w:r>
      <w:r w:rsidRPr="008C2C52">
        <w:rPr>
          <w:rFonts w:ascii="Arial" w:hAnsi="Arial" w:cs="Arial"/>
          <w:b/>
          <w:sz w:val="24"/>
          <w:szCs w:val="24"/>
        </w:rPr>
        <w:t xml:space="preserve">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3FDDD8A7"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B10543" w:rsidRPr="00B10543">
        <w:rPr>
          <w:rFonts w:ascii="Arial" w:hAnsi="Arial"/>
          <w:sz w:val="22"/>
          <w:szCs w:val="22"/>
        </w:rPr>
        <w:t>Discussion on TN broadcasting NTN assistance information</w:t>
      </w:r>
    </w:p>
    <w:p w14:paraId="007DA1C4" w14:textId="0FCF4198"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w:t>
      </w:r>
      <w:r w:rsidR="0038420D">
        <w:rPr>
          <w:rStyle w:val="af8"/>
          <w:sz w:val="22"/>
          <w:szCs w:val="22"/>
          <w:lang w:val="en-GB"/>
        </w:rPr>
        <w:t>, Turkcell</w:t>
      </w:r>
      <w:bookmarkStart w:id="1" w:name="_GoBack"/>
      <w:bookmarkEnd w:id="1"/>
    </w:p>
    <w:p w14:paraId="6EB383B0" w14:textId="114E1DC5"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w:t>
      </w:r>
      <w:r w:rsidR="00B10543">
        <w:rPr>
          <w:rFonts w:ascii="Arial" w:hAnsi="Arial"/>
          <w:sz w:val="22"/>
          <w:szCs w:val="22"/>
        </w:rPr>
        <w:t>7.4.1</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094630B8" w14:textId="4433D866" w:rsidR="00385C66" w:rsidRDefault="00B10543" w:rsidP="00DB6C19">
      <w:bookmarkStart w:id="2" w:name="OLE_LINK1"/>
      <w:bookmarkStart w:id="3" w:name="OLE_LINK2"/>
      <w:r>
        <w:rPr>
          <w:rFonts w:hint="eastAsia"/>
        </w:rPr>
        <w:t>I</w:t>
      </w:r>
      <w:r>
        <w:t>n RAN2</w:t>
      </w:r>
      <w:r>
        <w:rPr>
          <w:rFonts w:hint="eastAsia"/>
        </w:rPr>
        <w:t>#</w:t>
      </w:r>
      <w:r>
        <w:t xml:space="preserve">123bis, </w:t>
      </w:r>
      <w:r w:rsidR="00385C66">
        <w:t>RAN2 discussed whether to provide NTN neighbour cell information in TN cell, and no agreement was achieved.</w:t>
      </w:r>
    </w:p>
    <w:p w14:paraId="650BB8A8" w14:textId="27ABCC60" w:rsidR="00385C66" w:rsidRPr="00385C66" w:rsidRDefault="00385C66" w:rsidP="00385C66">
      <w:pPr>
        <w:spacing w:after="0" w:line="200" w:lineRule="exact"/>
        <w:ind w:left="1259" w:hanging="1259"/>
        <w:rPr>
          <w:rFonts w:ascii="Arial" w:eastAsia="MS Mincho" w:hAnsi="Arial" w:cs="Arial"/>
          <w:noProof/>
          <w:sz w:val="16"/>
          <w:szCs w:val="24"/>
          <w:lang w:eastAsia="en-GB"/>
        </w:rPr>
      </w:pPr>
      <w:r w:rsidRPr="00385C66">
        <w:rPr>
          <w:rStyle w:val="ad"/>
          <w:rFonts w:ascii="Arial" w:eastAsia="MS Mincho" w:hAnsi="Arial"/>
          <w:noProof/>
          <w:sz w:val="16"/>
          <w:szCs w:val="24"/>
          <w:lang w:eastAsia="en-GB"/>
        </w:rPr>
        <w:t>R2-2310306</w:t>
      </w:r>
      <w:r w:rsidRPr="00385C66">
        <w:rPr>
          <w:sz w:val="16"/>
        </w:rPr>
        <w:tab/>
      </w:r>
      <w:r w:rsidRPr="00385C66">
        <w:rPr>
          <w:rFonts w:ascii="Arial" w:eastAsia="MS Mincho" w:hAnsi="Arial" w:cs="Arial"/>
          <w:noProof/>
          <w:sz w:val="16"/>
          <w:szCs w:val="24"/>
          <w:lang w:val="en-US" w:eastAsia="zh-CN"/>
        </w:rPr>
        <w:t>NTN-TN cell reselection enhancement</w:t>
      </w:r>
      <w:r w:rsidRPr="00385C66">
        <w:rPr>
          <w:rFonts w:ascii="Arial" w:eastAsia="MS Mincho" w:hAnsi="Arial" w:cs="Arial"/>
          <w:noProof/>
          <w:sz w:val="16"/>
          <w:szCs w:val="24"/>
          <w:lang w:val="en-US" w:eastAsia="zh-CN"/>
        </w:rPr>
        <w:tab/>
        <w:t>Apple</w:t>
      </w:r>
      <w:r w:rsidRPr="00385C66">
        <w:rPr>
          <w:rFonts w:ascii="Arial" w:eastAsia="MS Mincho" w:hAnsi="Arial" w:cs="Arial"/>
          <w:noProof/>
          <w:sz w:val="16"/>
          <w:szCs w:val="24"/>
          <w:lang w:val="en-US" w:eastAsia="zh-CN"/>
        </w:rPr>
        <w:tab/>
        <w:t>discussion</w:t>
      </w:r>
      <w:r w:rsidRPr="00385C66">
        <w:rPr>
          <w:rFonts w:ascii="Arial" w:eastAsia="MS Mincho" w:hAnsi="Arial" w:cs="Arial"/>
          <w:noProof/>
          <w:sz w:val="16"/>
          <w:szCs w:val="24"/>
          <w:lang w:val="en-US" w:eastAsia="zh-CN"/>
        </w:rPr>
        <w:tab/>
        <w:t>Rel-18</w:t>
      </w:r>
      <w:r w:rsidRPr="00385C66">
        <w:rPr>
          <w:rFonts w:ascii="Arial" w:eastAsia="MS Mincho" w:hAnsi="Arial" w:cs="Arial"/>
          <w:noProof/>
          <w:sz w:val="16"/>
          <w:szCs w:val="24"/>
          <w:lang w:val="en-US" w:eastAsia="zh-CN"/>
        </w:rPr>
        <w:tab/>
        <w:t>NR_NTN_enh-Core</w:t>
      </w:r>
    </w:p>
    <w:p w14:paraId="0DB7F308" w14:textId="77777777" w:rsidR="00385C66" w:rsidRPr="00385C66" w:rsidRDefault="00385C66" w:rsidP="00385C66">
      <w:pPr>
        <w:spacing w:after="0" w:line="200" w:lineRule="exact"/>
        <w:rPr>
          <w:rFonts w:ascii="Arial" w:eastAsia="MS Mincho" w:hAnsi="Arial" w:cs="Arial"/>
          <w:i/>
          <w:noProof/>
          <w:sz w:val="15"/>
          <w:szCs w:val="24"/>
          <w:lang w:val="en-US" w:eastAsia="zh-CN"/>
        </w:rPr>
      </w:pPr>
      <w:r w:rsidRPr="00385C66">
        <w:rPr>
          <w:rFonts w:ascii="Arial" w:eastAsia="MS Mincho" w:hAnsi="Arial" w:cs="Arial"/>
          <w:i/>
          <w:noProof/>
          <w:sz w:val="15"/>
          <w:szCs w:val="24"/>
          <w:lang w:val="en-US" w:eastAsia="zh-CN"/>
        </w:rPr>
        <w:t xml:space="preserve">Proposal 7: Support to provide the NTN neighbor cell info in TN cell. </w:t>
      </w:r>
    </w:p>
    <w:p w14:paraId="64F31FE5"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Huawei and Nokia thinks this is not essential for Rel-18 and we have no time to discuss this at this stage. LG agrees</w:t>
      </w:r>
    </w:p>
    <w:p w14:paraId="5E1B718D"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 xml:space="preserve">Sony supports the proposal </w:t>
      </w:r>
    </w:p>
    <w:p w14:paraId="5DE01480"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Ericsson thinks this is a low hanging fruit for a real problem</w:t>
      </w:r>
    </w:p>
    <w:p w14:paraId="787F4A03"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MTK/QC support the proposal</w:t>
      </w:r>
    </w:p>
    <w:p w14:paraId="46475B49"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 xml:space="preserve">China Telecom supports this proposal. DT also supports this proposal. NTT </w:t>
      </w:r>
      <w:proofErr w:type="spellStart"/>
      <w:r w:rsidRPr="00385C66">
        <w:rPr>
          <w:rFonts w:ascii="Arial" w:eastAsia="MS Mincho" w:hAnsi="Arial"/>
          <w:sz w:val="16"/>
          <w:szCs w:val="24"/>
          <w:lang w:eastAsia="en-GB"/>
        </w:rPr>
        <w:t>Docomo</w:t>
      </w:r>
      <w:proofErr w:type="spellEnd"/>
      <w:r w:rsidRPr="00385C66">
        <w:rPr>
          <w:rFonts w:ascii="Arial" w:eastAsia="MS Mincho" w:hAnsi="Arial"/>
          <w:sz w:val="16"/>
          <w:szCs w:val="24"/>
          <w:lang w:eastAsia="en-GB"/>
        </w:rPr>
        <w:t xml:space="preserve"> supports the proposal</w:t>
      </w:r>
    </w:p>
    <w:p w14:paraId="3A85E5A6"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CATT does not support this</w:t>
      </w:r>
    </w:p>
    <w:p w14:paraId="3DC7DAE2"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Thales think this is important for service continuity.</w:t>
      </w:r>
    </w:p>
    <w:p w14:paraId="3724F82E" w14:textId="77777777" w:rsidR="00385C66" w:rsidRPr="00385C66" w:rsidRDefault="00385C66" w:rsidP="00385C66">
      <w:pPr>
        <w:numPr>
          <w:ilvl w:val="0"/>
          <w:numId w:val="48"/>
        </w:numPr>
        <w:tabs>
          <w:tab w:val="left" w:pos="1622"/>
        </w:tabs>
        <w:spacing w:after="0" w:line="200" w:lineRule="exact"/>
        <w:rPr>
          <w:rFonts w:ascii="Arial" w:eastAsia="MS Mincho" w:hAnsi="Arial"/>
          <w:sz w:val="16"/>
          <w:szCs w:val="24"/>
          <w:lang w:eastAsia="en-GB"/>
        </w:rPr>
      </w:pPr>
      <w:r w:rsidRPr="00385C66">
        <w:rPr>
          <w:rFonts w:ascii="Arial" w:eastAsia="MS Mincho" w:hAnsi="Arial"/>
          <w:sz w:val="16"/>
          <w:szCs w:val="24"/>
          <w:lang w:eastAsia="en-GB"/>
        </w:rPr>
        <w:t>Samsung also support this.</w:t>
      </w:r>
    </w:p>
    <w:p w14:paraId="6B33699E" w14:textId="77777777" w:rsidR="00385C66" w:rsidRPr="00385C66" w:rsidRDefault="00385C66" w:rsidP="00385C66">
      <w:pPr>
        <w:pStyle w:val="Doc-text2"/>
        <w:widowControl/>
        <w:numPr>
          <w:ilvl w:val="0"/>
          <w:numId w:val="48"/>
        </w:numPr>
        <w:spacing w:line="200" w:lineRule="exact"/>
        <w:jc w:val="left"/>
        <w:rPr>
          <w:sz w:val="18"/>
          <w:lang w:val="en-GB" w:eastAsia="en-GB"/>
        </w:rPr>
      </w:pPr>
      <w:r w:rsidRPr="00385C66">
        <w:rPr>
          <w:sz w:val="18"/>
        </w:rPr>
        <w:t>IDC thinks there is no convincing arguments not to have this.</w:t>
      </w:r>
    </w:p>
    <w:p w14:paraId="2E67B515" w14:textId="77777777" w:rsidR="00385C66" w:rsidRPr="00385C66" w:rsidRDefault="00385C66" w:rsidP="00385C66">
      <w:pPr>
        <w:pStyle w:val="Agreement"/>
        <w:spacing w:before="0" w:line="200" w:lineRule="exact"/>
        <w:rPr>
          <w:sz w:val="16"/>
        </w:rPr>
      </w:pPr>
      <w:r w:rsidRPr="00385C66">
        <w:rPr>
          <w:sz w:val="16"/>
        </w:rPr>
        <w:t xml:space="preserve">Continue in offline 305 to discuss the details of how broadcast NTN </w:t>
      </w:r>
      <w:proofErr w:type="spellStart"/>
      <w:r w:rsidRPr="00385C66">
        <w:rPr>
          <w:sz w:val="16"/>
        </w:rPr>
        <w:t>neighbor</w:t>
      </w:r>
      <w:proofErr w:type="spellEnd"/>
      <w:r w:rsidRPr="00385C66">
        <w:rPr>
          <w:sz w:val="16"/>
        </w:rPr>
        <w:t xml:space="preserve"> cell info in a TN cell (if we will have an agreement to support this in Rel-18)</w:t>
      </w:r>
    </w:p>
    <w:p w14:paraId="077DF035" w14:textId="77777777" w:rsidR="00385C66" w:rsidRPr="00385C66" w:rsidRDefault="00385C66" w:rsidP="00385C66">
      <w:pPr>
        <w:pStyle w:val="Comments"/>
        <w:spacing w:before="0" w:line="200" w:lineRule="exact"/>
        <w:rPr>
          <w:sz w:val="15"/>
          <w:lang w:val="en-GB" w:eastAsia="en-GB"/>
        </w:rPr>
      </w:pPr>
    </w:p>
    <w:p w14:paraId="0574DB1A" w14:textId="685E312F" w:rsidR="00385C66" w:rsidRPr="00385C66" w:rsidRDefault="00385C66" w:rsidP="00385C66">
      <w:pPr>
        <w:pStyle w:val="Doc-title"/>
        <w:spacing w:before="0" w:line="200" w:lineRule="exact"/>
        <w:rPr>
          <w:sz w:val="16"/>
        </w:rPr>
      </w:pPr>
      <w:r w:rsidRPr="00385C66">
        <w:rPr>
          <w:rStyle w:val="ad"/>
          <w:sz w:val="16"/>
        </w:rPr>
        <w:t>R2-2311317</w:t>
      </w:r>
      <w:r w:rsidRPr="00385C66">
        <w:rPr>
          <w:sz w:val="16"/>
        </w:rPr>
        <w:tab/>
        <w:t>Report of [AT123bis][305][NR-NTN Enh] Support of NTN neighbor cell info</w:t>
      </w:r>
      <w:r w:rsidRPr="00385C66">
        <w:rPr>
          <w:sz w:val="16"/>
        </w:rPr>
        <w:tab/>
        <w:t>Ericsson</w:t>
      </w:r>
      <w:r w:rsidRPr="00385C66">
        <w:rPr>
          <w:sz w:val="16"/>
        </w:rPr>
        <w:tab/>
        <w:t>discussion</w:t>
      </w:r>
      <w:r w:rsidRPr="00385C66">
        <w:rPr>
          <w:sz w:val="16"/>
        </w:rPr>
        <w:tab/>
        <w:t>Rel-18</w:t>
      </w:r>
      <w:r w:rsidRPr="00385C66">
        <w:rPr>
          <w:sz w:val="16"/>
        </w:rPr>
        <w:tab/>
        <w:t>NR_NTN_enh-Core</w:t>
      </w:r>
    </w:p>
    <w:p w14:paraId="6F06309C" w14:textId="77777777" w:rsidR="00385C66" w:rsidRPr="00385C66" w:rsidRDefault="00385C66" w:rsidP="00385C66">
      <w:pPr>
        <w:pStyle w:val="Comments"/>
        <w:spacing w:before="0" w:line="200" w:lineRule="exact"/>
        <w:rPr>
          <w:sz w:val="15"/>
        </w:rPr>
      </w:pPr>
      <w:r w:rsidRPr="00385C66">
        <w:rPr>
          <w:sz w:val="15"/>
        </w:rPr>
        <w:t>Proposal 1</w:t>
      </w:r>
      <w:r w:rsidRPr="00385C66">
        <w:rPr>
          <w:sz w:val="15"/>
        </w:rPr>
        <w:tab/>
        <w:t>The information contained in NTN-Config IE is sufficient for the UE to adjust SMTCs and perform NTN neighbour cell measurement.</w:t>
      </w:r>
    </w:p>
    <w:p w14:paraId="5B83CB67" w14:textId="77777777" w:rsidR="00385C66" w:rsidRPr="00385C66" w:rsidRDefault="00385C66" w:rsidP="00385C66">
      <w:pPr>
        <w:pStyle w:val="Comments"/>
        <w:spacing w:before="0" w:line="200" w:lineRule="exact"/>
        <w:rPr>
          <w:sz w:val="15"/>
        </w:rPr>
      </w:pPr>
      <w:r w:rsidRPr="00385C66">
        <w:rPr>
          <w:sz w:val="15"/>
        </w:rPr>
        <w:t>Proposal 2</w:t>
      </w:r>
      <w:r w:rsidRPr="00385C66">
        <w:rPr>
          <w:sz w:val="15"/>
        </w:rPr>
        <w:tab/>
        <w:t>SIB3/4/5 or a new SIB are not considered to broadcast NTN-config in TN cells.</w:t>
      </w:r>
    </w:p>
    <w:p w14:paraId="6A1F1CA3" w14:textId="77777777" w:rsidR="00385C66" w:rsidRPr="00385C66" w:rsidRDefault="00385C66" w:rsidP="00385C66">
      <w:pPr>
        <w:pStyle w:val="Comments"/>
        <w:spacing w:before="0" w:line="200" w:lineRule="exact"/>
        <w:rPr>
          <w:sz w:val="15"/>
        </w:rPr>
      </w:pPr>
      <w:r w:rsidRPr="00385C66">
        <w:rPr>
          <w:sz w:val="15"/>
        </w:rPr>
        <w:t>Proposal 3</w:t>
      </w:r>
      <w:r w:rsidRPr="00385C66">
        <w:rPr>
          <w:sz w:val="15"/>
        </w:rPr>
        <w:tab/>
        <w:t>If RAN2 decides to broadcast NTN-config in TN cells, SIB19 could be used.</w:t>
      </w:r>
    </w:p>
    <w:p w14:paraId="469A7A79" w14:textId="77777777" w:rsidR="00385C66" w:rsidRPr="00385C66" w:rsidRDefault="00385C66" w:rsidP="00385C66">
      <w:pPr>
        <w:pStyle w:val="Doc-text2"/>
        <w:widowControl/>
        <w:numPr>
          <w:ilvl w:val="0"/>
          <w:numId w:val="48"/>
        </w:numPr>
        <w:spacing w:line="200" w:lineRule="exact"/>
        <w:jc w:val="left"/>
        <w:rPr>
          <w:sz w:val="18"/>
        </w:rPr>
      </w:pPr>
      <w:r w:rsidRPr="00385C66">
        <w:rPr>
          <w:sz w:val="18"/>
        </w:rPr>
        <w:t>VDF would like to think more about this</w:t>
      </w:r>
    </w:p>
    <w:p w14:paraId="2F5944F5" w14:textId="77777777" w:rsidR="00385C66" w:rsidRPr="00385C66" w:rsidRDefault="00385C66" w:rsidP="00385C66">
      <w:pPr>
        <w:pStyle w:val="Doc-text2"/>
        <w:widowControl/>
        <w:numPr>
          <w:ilvl w:val="0"/>
          <w:numId w:val="48"/>
        </w:numPr>
        <w:spacing w:line="200" w:lineRule="exact"/>
        <w:jc w:val="left"/>
        <w:rPr>
          <w:sz w:val="18"/>
        </w:rPr>
      </w:pPr>
      <w:r w:rsidRPr="00385C66">
        <w:rPr>
          <w:sz w:val="18"/>
        </w:rPr>
        <w:t xml:space="preserve">QC thinks that </w:t>
      </w:r>
      <w:proofErr w:type="spellStart"/>
      <w:r w:rsidRPr="00385C66">
        <w:rPr>
          <w:sz w:val="18"/>
        </w:rPr>
        <w:t>signalling</w:t>
      </w:r>
      <w:proofErr w:type="spellEnd"/>
      <w:r w:rsidRPr="00385C66">
        <w:rPr>
          <w:sz w:val="18"/>
        </w:rPr>
        <w:t xml:space="preserve"> wise there should be no issue and this information could be optionally </w:t>
      </w:r>
      <w:proofErr w:type="spellStart"/>
      <w:r w:rsidRPr="00385C66">
        <w:rPr>
          <w:sz w:val="18"/>
        </w:rPr>
        <w:t>signalled</w:t>
      </w:r>
      <w:proofErr w:type="spellEnd"/>
      <w:r w:rsidRPr="00385C66">
        <w:rPr>
          <w:sz w:val="18"/>
        </w:rPr>
        <w:t xml:space="preserve"> in TN. What would have to be clarified is the requirement for the UE.</w:t>
      </w:r>
    </w:p>
    <w:p w14:paraId="0EB72C0C" w14:textId="77777777" w:rsidR="00385C66" w:rsidRPr="00385C66" w:rsidRDefault="00385C66" w:rsidP="00385C66">
      <w:pPr>
        <w:pStyle w:val="Doc-text2"/>
        <w:widowControl/>
        <w:numPr>
          <w:ilvl w:val="0"/>
          <w:numId w:val="48"/>
        </w:numPr>
        <w:spacing w:line="200" w:lineRule="exact"/>
        <w:jc w:val="left"/>
        <w:rPr>
          <w:sz w:val="18"/>
        </w:rPr>
      </w:pPr>
      <w:r w:rsidRPr="00385C66">
        <w:rPr>
          <w:sz w:val="18"/>
        </w:rPr>
        <w:t>Apple shares QC view. MTK/Samsung agree. Thales supports QC</w:t>
      </w:r>
    </w:p>
    <w:p w14:paraId="24216EF3" w14:textId="77777777" w:rsidR="00385C66" w:rsidRPr="00385C66" w:rsidRDefault="00385C66" w:rsidP="00385C66">
      <w:pPr>
        <w:pStyle w:val="Doc-text2"/>
        <w:widowControl/>
        <w:numPr>
          <w:ilvl w:val="0"/>
          <w:numId w:val="48"/>
        </w:numPr>
        <w:spacing w:line="200" w:lineRule="exact"/>
        <w:jc w:val="left"/>
        <w:rPr>
          <w:sz w:val="18"/>
        </w:rPr>
      </w:pPr>
      <w:r w:rsidRPr="00385C66">
        <w:rPr>
          <w:sz w:val="18"/>
        </w:rPr>
        <w:t>Google has a concerns related to UE power saving</w:t>
      </w:r>
    </w:p>
    <w:p w14:paraId="31AA28A9" w14:textId="77777777" w:rsidR="00385C66" w:rsidRPr="00385C66" w:rsidRDefault="00385C66" w:rsidP="00385C66">
      <w:pPr>
        <w:pStyle w:val="Doc-text2"/>
        <w:widowControl/>
        <w:numPr>
          <w:ilvl w:val="0"/>
          <w:numId w:val="48"/>
        </w:numPr>
        <w:spacing w:line="200" w:lineRule="exact"/>
        <w:jc w:val="left"/>
        <w:rPr>
          <w:sz w:val="18"/>
        </w:rPr>
      </w:pPr>
      <w:r w:rsidRPr="00385C66">
        <w:rPr>
          <w:sz w:val="18"/>
        </w:rPr>
        <w:t>HW agrees with VDF that this does not come for free and the gains are questionable. CATT agrees</w:t>
      </w:r>
    </w:p>
    <w:p w14:paraId="67E6A0B3" w14:textId="77777777" w:rsidR="00385C66" w:rsidRPr="00385C66" w:rsidRDefault="00385C66" w:rsidP="00385C66">
      <w:pPr>
        <w:pStyle w:val="Doc-text2"/>
        <w:widowControl/>
        <w:numPr>
          <w:ilvl w:val="0"/>
          <w:numId w:val="48"/>
        </w:numPr>
        <w:spacing w:line="200" w:lineRule="exact"/>
        <w:jc w:val="left"/>
        <w:rPr>
          <w:sz w:val="18"/>
        </w:rPr>
      </w:pPr>
      <w:r w:rsidRPr="00385C66">
        <w:rPr>
          <w:sz w:val="18"/>
        </w:rPr>
        <w:t>Inmarsat thinks that if this is useful is useful now, no need to wait for R19</w:t>
      </w:r>
    </w:p>
    <w:p w14:paraId="15AFF3E8" w14:textId="77777777" w:rsidR="00385C66" w:rsidRPr="00385C66" w:rsidRDefault="00385C66" w:rsidP="00385C66">
      <w:pPr>
        <w:pStyle w:val="Agreement"/>
        <w:spacing w:before="0" w:line="200" w:lineRule="exact"/>
        <w:rPr>
          <w:sz w:val="16"/>
        </w:rPr>
      </w:pPr>
      <w:r w:rsidRPr="00385C66">
        <w:rPr>
          <w:sz w:val="16"/>
        </w:rPr>
        <w:t>Come back in the next meeting</w:t>
      </w:r>
    </w:p>
    <w:p w14:paraId="1A2CCEF2" w14:textId="77777777" w:rsidR="00385C66" w:rsidRDefault="00385C66" w:rsidP="00385C66">
      <w:pPr>
        <w:pStyle w:val="Doc-title"/>
      </w:pPr>
    </w:p>
    <w:p w14:paraId="7C87DC54" w14:textId="593E3BC5" w:rsidR="00B10543" w:rsidRPr="00E52AAB" w:rsidRDefault="00B10543" w:rsidP="00DB6C19">
      <w:r>
        <w:t xml:space="preserve">In this paper, we provide </w:t>
      </w:r>
      <w:r w:rsidR="00385C66">
        <w:t xml:space="preserve">our views </w:t>
      </w:r>
      <w:r>
        <w:t xml:space="preserve">on this issue. </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t>Discussion</w:t>
      </w:r>
    </w:p>
    <w:p w14:paraId="7F74BBE7" w14:textId="34605EC8" w:rsidR="00266B61" w:rsidRDefault="00EC59A3" w:rsidP="00DB6C19">
      <w:pPr>
        <w:rPr>
          <w:iCs/>
        </w:rPr>
      </w:pPr>
      <w:r>
        <w:rPr>
          <w:iCs/>
        </w:rPr>
        <w:t>I</w:t>
      </w:r>
      <w:r w:rsidR="00617BA7">
        <w:rPr>
          <w:iCs/>
        </w:rPr>
        <w:t xml:space="preserve">n previous meetings, the </w:t>
      </w:r>
      <w:r>
        <w:rPr>
          <w:iCs/>
        </w:rPr>
        <w:t>discussion of</w:t>
      </w:r>
      <w:r w:rsidR="00617BA7">
        <w:rPr>
          <w:iCs/>
        </w:rPr>
        <w:t xml:space="preserve"> NTN neighbour cell information </w:t>
      </w:r>
      <w:r>
        <w:rPr>
          <w:iCs/>
        </w:rPr>
        <w:t xml:space="preserve">provision </w:t>
      </w:r>
      <w:r w:rsidR="00617BA7">
        <w:rPr>
          <w:iCs/>
        </w:rPr>
        <w:t xml:space="preserve">is </w:t>
      </w:r>
      <w:r>
        <w:rPr>
          <w:iCs/>
        </w:rPr>
        <w:t>focused on</w:t>
      </w:r>
      <w:r w:rsidR="003C4E71">
        <w:rPr>
          <w:iCs/>
        </w:rPr>
        <w:t xml:space="preserve"> the use case of</w:t>
      </w:r>
      <w:r w:rsidR="00617BA7">
        <w:rPr>
          <w:iCs/>
        </w:rPr>
        <w:t xml:space="preserve"> TN/NTN boundary, and UEs in RRC_IDLE/RRC_INACTIVE.</w:t>
      </w:r>
      <w:r w:rsidR="00041EC8">
        <w:rPr>
          <w:iCs/>
        </w:rPr>
        <w:t xml:space="preserve"> Further, it was common understanding since R17 that the UE should prioritize TN cells over NTN cells.</w:t>
      </w:r>
      <w:r w:rsidR="004609FB">
        <w:rPr>
          <w:iCs/>
        </w:rPr>
        <w:t xml:space="preserve"> If there is TN coverage, the UE should always try to camp on the TN cells.</w:t>
      </w:r>
    </w:p>
    <w:p w14:paraId="54E0331E" w14:textId="1ECA08E4" w:rsidR="00617BA7" w:rsidRDefault="00617BA7" w:rsidP="00DB6C19">
      <w:pPr>
        <w:rPr>
          <w:iCs/>
        </w:rPr>
      </w:pPr>
      <w:r>
        <w:rPr>
          <w:iCs/>
        </w:rPr>
        <w:t xml:space="preserve">For UEs in RRC_CONNECTED, the </w:t>
      </w:r>
      <w:proofErr w:type="spellStart"/>
      <w:r>
        <w:rPr>
          <w:iCs/>
        </w:rPr>
        <w:t>gNB</w:t>
      </w:r>
      <w:proofErr w:type="spellEnd"/>
      <w:r>
        <w:rPr>
          <w:iCs/>
        </w:rPr>
        <w:t xml:space="preserve"> implementation can determine whether to handover the UE from TN to NTN, this is already supported in R17 by default but no enhancement is made on that (as agreed in RAN2#115-e “</w:t>
      </w:r>
      <w:r w:rsidRPr="00617BA7">
        <w:rPr>
          <w:i/>
          <w:iCs/>
        </w:rPr>
        <w:t>RAN2 down priorities further enhancements for connected mode for Rel-17 for TN-NTN mobility</w:t>
      </w:r>
      <w:r>
        <w:rPr>
          <w:iCs/>
        </w:rPr>
        <w:t xml:space="preserve">”). If the target cell is an NTN cell, satellite assistance information can be provided in </w:t>
      </w:r>
      <w:proofErr w:type="spellStart"/>
      <w:r w:rsidRPr="00617BA7">
        <w:rPr>
          <w:i/>
          <w:iCs/>
        </w:rPr>
        <w:t>ServingCellConfigCommon</w:t>
      </w:r>
      <w:proofErr w:type="spellEnd"/>
      <w:r>
        <w:rPr>
          <w:iCs/>
        </w:rPr>
        <w:t>.</w:t>
      </w:r>
    </w:p>
    <w:p w14:paraId="2535AD10" w14:textId="2B51652A" w:rsidR="00617BA7" w:rsidRPr="00EC59A3" w:rsidRDefault="00EC59A3" w:rsidP="00DB6C19">
      <w:pPr>
        <w:rPr>
          <w:rFonts w:eastAsiaTheme="minorEastAsia"/>
          <w:b/>
          <w:iCs/>
          <w:lang w:eastAsia="zh-CN"/>
        </w:rPr>
      </w:pPr>
      <w:r w:rsidRPr="00EC59A3">
        <w:rPr>
          <w:rFonts w:eastAsiaTheme="minorEastAsia" w:hint="eastAsia"/>
          <w:b/>
          <w:iCs/>
          <w:lang w:eastAsia="zh-CN"/>
        </w:rPr>
        <w:t>O</w:t>
      </w:r>
      <w:r w:rsidRPr="00EC59A3">
        <w:rPr>
          <w:rFonts w:eastAsiaTheme="minorEastAsia"/>
          <w:b/>
          <w:iCs/>
          <w:lang w:eastAsia="zh-CN"/>
        </w:rPr>
        <w:t>b</w:t>
      </w:r>
      <w:r>
        <w:rPr>
          <w:rFonts w:eastAsiaTheme="minorEastAsia"/>
          <w:b/>
          <w:iCs/>
          <w:lang w:eastAsia="zh-CN"/>
        </w:rPr>
        <w:t>s</w:t>
      </w:r>
      <w:r w:rsidRPr="00EC59A3">
        <w:rPr>
          <w:rFonts w:eastAsiaTheme="minorEastAsia"/>
          <w:b/>
          <w:iCs/>
          <w:lang w:eastAsia="zh-CN"/>
        </w:rPr>
        <w:t>er</w:t>
      </w:r>
      <w:r>
        <w:rPr>
          <w:rFonts w:eastAsiaTheme="minorEastAsia"/>
          <w:b/>
          <w:iCs/>
          <w:lang w:eastAsia="zh-CN"/>
        </w:rPr>
        <w:t>v</w:t>
      </w:r>
      <w:r w:rsidRPr="00EC59A3">
        <w:rPr>
          <w:rFonts w:eastAsiaTheme="minorEastAsia"/>
          <w:b/>
          <w:iCs/>
          <w:lang w:eastAsia="zh-CN"/>
        </w:rPr>
        <w:t>ation</w:t>
      </w:r>
      <w:r>
        <w:rPr>
          <w:rFonts w:eastAsiaTheme="minorEastAsia"/>
          <w:b/>
          <w:iCs/>
          <w:lang w:eastAsia="zh-CN"/>
        </w:rPr>
        <w:t xml:space="preserve"> 1</w:t>
      </w:r>
      <w:r w:rsidRPr="00EC59A3">
        <w:rPr>
          <w:rFonts w:eastAsiaTheme="minorEastAsia"/>
          <w:b/>
          <w:iCs/>
          <w:lang w:eastAsia="zh-CN"/>
        </w:rPr>
        <w:t>:</w:t>
      </w:r>
      <w:r w:rsidR="00041EC8">
        <w:rPr>
          <w:rFonts w:eastAsiaTheme="minorEastAsia"/>
          <w:b/>
          <w:iCs/>
          <w:lang w:eastAsia="zh-CN"/>
        </w:rPr>
        <w:t xml:space="preserve"> For UEs in RRC_CONNECTED, and UEs in RRC_IDLE/RRC_INACTIVE that are still in TN coverage, the provision of NTN neighbour cell information is not useful.</w:t>
      </w:r>
    </w:p>
    <w:p w14:paraId="2CB3FB97" w14:textId="593A87F7" w:rsidR="00266B61" w:rsidRDefault="00041EC8" w:rsidP="00266B61">
      <w:pPr>
        <w:rPr>
          <w:rFonts w:eastAsiaTheme="minorEastAsia"/>
          <w:iCs/>
          <w:lang w:eastAsia="zh-CN"/>
        </w:rPr>
      </w:pPr>
      <w:r>
        <w:rPr>
          <w:rFonts w:eastAsiaTheme="minorEastAsia" w:hint="eastAsia"/>
          <w:iCs/>
          <w:lang w:eastAsia="zh-CN"/>
        </w:rPr>
        <w:t>I</w:t>
      </w:r>
      <w:r>
        <w:rPr>
          <w:rFonts w:eastAsiaTheme="minorEastAsia"/>
          <w:iCs/>
          <w:lang w:eastAsia="zh-CN"/>
        </w:rPr>
        <w:t>f the NTN neighbour cell is provided by a TN cell, one issue is how the UE obtain</w:t>
      </w:r>
      <w:r w:rsidR="002D20C8">
        <w:rPr>
          <w:rFonts w:eastAsiaTheme="minorEastAsia"/>
          <w:iCs/>
          <w:lang w:eastAsia="zh-CN"/>
        </w:rPr>
        <w:t>s</w:t>
      </w:r>
      <w:r>
        <w:rPr>
          <w:rFonts w:eastAsiaTheme="minorEastAsia"/>
          <w:iCs/>
          <w:lang w:eastAsia="zh-CN"/>
        </w:rPr>
        <w:t xml:space="preserve"> and update</w:t>
      </w:r>
      <w:r w:rsidR="002D20C8">
        <w:rPr>
          <w:rFonts w:eastAsiaTheme="minorEastAsia"/>
          <w:iCs/>
          <w:lang w:eastAsia="zh-CN"/>
        </w:rPr>
        <w:t>s</w:t>
      </w:r>
      <w:r>
        <w:rPr>
          <w:rFonts w:eastAsiaTheme="minorEastAsia"/>
          <w:iCs/>
          <w:lang w:eastAsia="zh-CN"/>
        </w:rPr>
        <w:t xml:space="preserve"> it.</w:t>
      </w:r>
    </w:p>
    <w:p w14:paraId="26FAACB6" w14:textId="7097B44A" w:rsidR="004609FB" w:rsidRDefault="004609FB" w:rsidP="00266B61">
      <w:pPr>
        <w:rPr>
          <w:rFonts w:eastAsiaTheme="minorEastAsia"/>
          <w:iCs/>
          <w:lang w:eastAsia="zh-CN"/>
        </w:rPr>
      </w:pPr>
      <w:r>
        <w:rPr>
          <w:rFonts w:eastAsiaTheme="minorEastAsia"/>
          <w:iCs/>
          <w:lang w:eastAsia="zh-CN"/>
        </w:rPr>
        <w:lastRenderedPageBreak/>
        <w:t>In NTN-NTN scenarios,</w:t>
      </w:r>
      <w:r w:rsidR="008C0816">
        <w:rPr>
          <w:rFonts w:eastAsiaTheme="minorEastAsia"/>
          <w:iCs/>
          <w:lang w:eastAsia="zh-CN"/>
        </w:rPr>
        <w:t xml:space="preserve"> the provision of serving satellite information and neighbour satellite information is in SIB19. RAN2 only defined a timer (T430) for serving satellite information (re)acquisition in RRC_CONNECTED, while it is up to UE implementation to maintain a valid neighbour satellite information in RRC_CONNECTED and serving/neighbour satellite information in RRC_IDLE.</w:t>
      </w:r>
      <w:r w:rsidR="00606C44">
        <w:rPr>
          <w:rFonts w:eastAsiaTheme="minorEastAsia"/>
          <w:iCs/>
          <w:lang w:eastAsia="zh-CN"/>
        </w:rPr>
        <w:t xml:space="preserve"> The main reason is to simplify the specification impacts, and does not imply that UEs in RRC_IDLE </w:t>
      </w:r>
      <w:r w:rsidR="003B4E4C">
        <w:rPr>
          <w:rFonts w:eastAsiaTheme="minorEastAsia"/>
          <w:iCs/>
          <w:lang w:eastAsia="zh-CN"/>
        </w:rPr>
        <w:t>do not need to</w:t>
      </w:r>
      <w:r w:rsidR="00606C44">
        <w:rPr>
          <w:rFonts w:eastAsiaTheme="minorEastAsia"/>
          <w:iCs/>
          <w:lang w:eastAsia="zh-CN"/>
        </w:rPr>
        <w:t xml:space="preserve"> keep the up-to-date information.</w:t>
      </w:r>
    </w:p>
    <w:p w14:paraId="60AA6D6D" w14:textId="4165B205" w:rsidR="008C0816" w:rsidRDefault="008C0816" w:rsidP="00266B61">
      <w:pPr>
        <w:rPr>
          <w:rFonts w:eastAsiaTheme="minorEastAsia"/>
          <w:iCs/>
          <w:lang w:eastAsia="zh-CN"/>
        </w:rPr>
      </w:pPr>
      <w:r>
        <w:rPr>
          <w:rFonts w:eastAsiaTheme="minorEastAsia"/>
          <w:iCs/>
          <w:lang w:eastAsia="zh-CN"/>
        </w:rPr>
        <w:t>The following note was captured in 38.331</w:t>
      </w:r>
      <w:r>
        <w:rPr>
          <w:rFonts w:eastAsiaTheme="minorEastAsia" w:hint="eastAsia"/>
          <w:iCs/>
          <w:lang w:eastAsia="zh-CN"/>
        </w:rPr>
        <w:t>,</w:t>
      </w:r>
      <w:r>
        <w:rPr>
          <w:rFonts w:eastAsiaTheme="minorEastAsia"/>
          <w:iCs/>
          <w:lang w:eastAsia="zh-CN"/>
        </w:rPr>
        <w:t xml:space="preserve"> meaning that UE need to maintain a valid SIB19 (which applies to UEs in all RRC states).</w:t>
      </w:r>
    </w:p>
    <w:tbl>
      <w:tblPr>
        <w:tblStyle w:val="af4"/>
        <w:tblW w:w="0" w:type="auto"/>
        <w:tblLook w:val="04A0" w:firstRow="1" w:lastRow="0" w:firstColumn="1" w:lastColumn="0" w:noHBand="0" w:noVBand="1"/>
      </w:tblPr>
      <w:tblGrid>
        <w:gridCol w:w="9345"/>
      </w:tblGrid>
      <w:tr w:rsidR="004609FB" w14:paraId="20789CB5" w14:textId="77777777" w:rsidTr="004609FB">
        <w:tc>
          <w:tcPr>
            <w:tcW w:w="9345" w:type="dxa"/>
          </w:tcPr>
          <w:p w14:paraId="361D6356" w14:textId="2FCEAE1F" w:rsidR="004609FB" w:rsidRDefault="004609FB" w:rsidP="004609FB">
            <w:pPr>
              <w:pStyle w:val="NO"/>
              <w:rPr>
                <w:rFonts w:eastAsiaTheme="minorEastAsia"/>
                <w:iCs/>
                <w:lang w:eastAsia="zh-CN"/>
              </w:rPr>
            </w:pPr>
            <w:r w:rsidRPr="00F10B4F">
              <w:t>NOTE:</w:t>
            </w:r>
            <w:r w:rsidRPr="00F10B4F">
              <w:tab/>
              <w:t xml:space="preserve">UE should attempt to re-acquire </w:t>
            </w:r>
            <w:r w:rsidRPr="00F10B4F">
              <w:rPr>
                <w:i/>
                <w:iCs/>
              </w:rPr>
              <w:t>SIB19</w:t>
            </w:r>
            <w:r w:rsidRPr="00F10B4F">
              <w:t xml:space="preserve"> before the end of the duration indicated by </w:t>
            </w:r>
            <w:proofErr w:type="spellStart"/>
            <w:r w:rsidRPr="00F10B4F">
              <w:rPr>
                <w:i/>
                <w:iCs/>
              </w:rPr>
              <w:t>ntn-UlSyncValidityDuration</w:t>
            </w:r>
            <w:proofErr w:type="spellEnd"/>
            <w:r w:rsidRPr="00F10B4F">
              <w:t xml:space="preserve"> and </w:t>
            </w:r>
            <w:proofErr w:type="spellStart"/>
            <w:r w:rsidRPr="00F10B4F">
              <w:rPr>
                <w:i/>
                <w:iCs/>
              </w:rPr>
              <w:t>epochTime</w:t>
            </w:r>
            <w:proofErr w:type="spellEnd"/>
            <w:r w:rsidRPr="00F10B4F">
              <w:t xml:space="preserve"> by UE implementation.</w:t>
            </w:r>
          </w:p>
        </w:tc>
      </w:tr>
    </w:tbl>
    <w:p w14:paraId="7E1D0DD7" w14:textId="5D22EDC3" w:rsidR="006E43B3" w:rsidRDefault="00BE1F83" w:rsidP="00BE1F83">
      <w:pPr>
        <w:spacing w:before="180"/>
        <w:rPr>
          <w:iCs/>
        </w:rPr>
      </w:pPr>
      <w:r>
        <w:rPr>
          <w:rFonts w:eastAsiaTheme="minorEastAsia" w:hint="eastAsia"/>
          <w:iCs/>
          <w:lang w:eastAsia="zh-CN"/>
        </w:rPr>
        <w:t xml:space="preserve">Furthermore, </w:t>
      </w:r>
      <w:r>
        <w:rPr>
          <w:rFonts w:eastAsiaTheme="minorEastAsia"/>
          <w:iCs/>
          <w:lang w:eastAsia="zh-CN"/>
        </w:rPr>
        <w:t xml:space="preserve">if the UE does not obtain the neighbour satellite assistance information, RAN4 cannot define the corresponding requirements </w:t>
      </w:r>
      <w:r>
        <w:rPr>
          <w:rFonts w:eastAsiaTheme="minorEastAsia"/>
          <w:iCs/>
          <w:lang w:eastAsia="zh-CN"/>
        </w:rPr>
        <w:fldChar w:fldCharType="begin"/>
      </w:r>
      <w:r>
        <w:rPr>
          <w:rFonts w:eastAsiaTheme="minorEastAsia"/>
          <w:iCs/>
          <w:lang w:eastAsia="zh-CN"/>
        </w:rPr>
        <w:instrText xml:space="preserve"> REF _Ref149727886 \r \h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Pr>
          <w:rFonts w:eastAsiaTheme="minorEastAsia"/>
          <w:iCs/>
          <w:lang w:eastAsia="zh-CN"/>
        </w:rPr>
        <w:t>:</w:t>
      </w:r>
      <w:r w:rsidR="006E43B3">
        <w:rPr>
          <w:iC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6E43B3" w:rsidRPr="00D6301E" w14:paraId="522E995A" w14:textId="77777777" w:rsidTr="00155294">
        <w:tc>
          <w:tcPr>
            <w:tcW w:w="9639" w:type="dxa"/>
            <w:shd w:val="clear" w:color="auto" w:fill="auto"/>
          </w:tcPr>
          <w:p w14:paraId="3BA8E8EB" w14:textId="77777777" w:rsidR="006E43B3" w:rsidRPr="00BE1F83" w:rsidRDefault="006E43B3" w:rsidP="00BE1F83">
            <w:pPr>
              <w:numPr>
                <w:ilvl w:val="0"/>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Define “</w:t>
            </w:r>
            <w:r w:rsidRPr="00BE1F83">
              <w:rPr>
                <w:iCs/>
                <w:sz w:val="16"/>
                <w:highlight w:val="yellow"/>
              </w:rPr>
              <w:t>availability of valid target satellite information as side condition</w:t>
            </w:r>
            <w:r w:rsidRPr="00BE1F83">
              <w:rPr>
                <w:iCs/>
                <w:sz w:val="16"/>
              </w:rPr>
              <w:t xml:space="preserve">” </w:t>
            </w:r>
          </w:p>
          <w:p w14:paraId="59FC43EE" w14:textId="77777777" w:rsidR="006E43B3" w:rsidRPr="00BE1F83" w:rsidRDefault="006E43B3" w:rsidP="00BE1F83">
            <w:pPr>
              <w:numPr>
                <w:ilvl w:val="1"/>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Parameters listed in R2-2201884 are defined as the required target satellite information for measurement and mobility.</w:t>
            </w:r>
          </w:p>
          <w:p w14:paraId="3DC6E305" w14:textId="77777777" w:rsidR="006E43B3" w:rsidRPr="00BE1F83" w:rsidRDefault="006E43B3" w:rsidP="00BE1F83">
            <w:pPr>
              <w:numPr>
                <w:ilvl w:val="2"/>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For measurement</w:t>
            </w:r>
          </w:p>
          <w:p w14:paraId="11FFFD54"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Ephemeris</w:t>
            </w:r>
          </w:p>
          <w:p w14:paraId="24A63012"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Epoch time</w:t>
            </w:r>
          </w:p>
          <w:p w14:paraId="168EF0FE"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SMTCs</w:t>
            </w:r>
          </w:p>
          <w:p w14:paraId="04BFFA92"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DL polarization information</w:t>
            </w:r>
          </w:p>
          <w:p w14:paraId="53FC72A7"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Serving cell stop time and reference location for IDLE mode measurement trigger in NGSO fixed cell, if applicable</w:t>
            </w:r>
          </w:p>
          <w:p w14:paraId="16C752AD"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 xml:space="preserve">Under RAN1 discussion: </w:t>
            </w:r>
          </w:p>
          <w:p w14:paraId="77BB80CC" w14:textId="77777777" w:rsidR="006E43B3" w:rsidRPr="00BE1F83" w:rsidRDefault="006E43B3" w:rsidP="00BE1F83">
            <w:pPr>
              <w:numPr>
                <w:ilvl w:val="4"/>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 xml:space="preserve">Feeder link delay (i.e., common TA and K_MAC) of the </w:t>
            </w:r>
            <w:proofErr w:type="spellStart"/>
            <w:r w:rsidRPr="00BE1F83">
              <w:rPr>
                <w:iCs/>
                <w:sz w:val="16"/>
              </w:rPr>
              <w:t>neighbor</w:t>
            </w:r>
            <w:proofErr w:type="spellEnd"/>
            <w:r w:rsidRPr="00BE1F83">
              <w:rPr>
                <w:iCs/>
                <w:sz w:val="16"/>
              </w:rPr>
              <w:t xml:space="preserve"> cell should also be provided to UE for </w:t>
            </w:r>
            <w:proofErr w:type="spellStart"/>
            <w:r w:rsidRPr="00BE1F83">
              <w:rPr>
                <w:iCs/>
                <w:sz w:val="16"/>
              </w:rPr>
              <w:t>neighbor</w:t>
            </w:r>
            <w:proofErr w:type="spellEnd"/>
            <w:r w:rsidRPr="00BE1F83">
              <w:rPr>
                <w:iCs/>
                <w:sz w:val="16"/>
              </w:rPr>
              <w:t xml:space="preserve"> cell SMTC adjustment</w:t>
            </w:r>
          </w:p>
          <w:p w14:paraId="6F491D06" w14:textId="77777777" w:rsidR="006E43B3" w:rsidRPr="00BE1F83" w:rsidRDefault="006E43B3" w:rsidP="00BE1F83">
            <w:pPr>
              <w:numPr>
                <w:ilvl w:val="4"/>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separate validity timers</w:t>
            </w:r>
          </w:p>
          <w:p w14:paraId="62EB6664" w14:textId="77777777" w:rsidR="006E43B3" w:rsidRPr="00BE1F83" w:rsidRDefault="006E43B3" w:rsidP="00BE1F83">
            <w:pPr>
              <w:numPr>
                <w:ilvl w:val="2"/>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For mobility</w:t>
            </w:r>
          </w:p>
          <w:p w14:paraId="7BC3E3DD"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Target cell Ephemeris information</w:t>
            </w:r>
          </w:p>
          <w:p w14:paraId="250997D0"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Epoch time of the ephemeris</w:t>
            </w:r>
          </w:p>
          <w:p w14:paraId="7C11CA38"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Common TA</w:t>
            </w:r>
          </w:p>
          <w:p w14:paraId="5187C75F"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Validity timer information for target cell mobility</w:t>
            </w:r>
          </w:p>
          <w:p w14:paraId="60F85942"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DL and UL Polarization information</w:t>
            </w:r>
          </w:p>
          <w:p w14:paraId="32851956"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proofErr w:type="spellStart"/>
            <w:r w:rsidRPr="00BE1F83">
              <w:rPr>
                <w:iCs/>
                <w:sz w:val="16"/>
              </w:rPr>
              <w:t>K_offset</w:t>
            </w:r>
            <w:proofErr w:type="spellEnd"/>
          </w:p>
          <w:p w14:paraId="3729C259" w14:textId="77777777" w:rsidR="006E43B3" w:rsidRPr="00BE1F83" w:rsidRDefault="006E43B3" w:rsidP="00BE1F83">
            <w:pPr>
              <w:numPr>
                <w:ilvl w:val="3"/>
                <w:numId w:val="47"/>
              </w:numPr>
              <w:overflowPunct w:val="0"/>
              <w:autoSpaceDE w:val="0"/>
              <w:autoSpaceDN w:val="0"/>
              <w:adjustRightInd w:val="0"/>
              <w:spacing w:after="0" w:line="180" w:lineRule="exact"/>
              <w:ind w:hanging="357"/>
              <w:jc w:val="both"/>
              <w:textAlignment w:val="baseline"/>
              <w:rPr>
                <w:iCs/>
                <w:sz w:val="16"/>
              </w:rPr>
            </w:pPr>
            <w:proofErr w:type="spellStart"/>
            <w:r w:rsidRPr="00BE1F83">
              <w:rPr>
                <w:iCs/>
                <w:sz w:val="16"/>
              </w:rPr>
              <w:t>Kmac</w:t>
            </w:r>
            <w:proofErr w:type="spellEnd"/>
            <w:r w:rsidRPr="00BE1F83">
              <w:rPr>
                <w:iCs/>
                <w:sz w:val="16"/>
              </w:rPr>
              <w:t xml:space="preserve"> (to determine UE-</w:t>
            </w:r>
            <w:proofErr w:type="spellStart"/>
            <w:r w:rsidRPr="00BE1F83">
              <w:rPr>
                <w:iCs/>
                <w:sz w:val="16"/>
              </w:rPr>
              <w:t>gNB</w:t>
            </w:r>
            <w:proofErr w:type="spellEnd"/>
            <w:r w:rsidRPr="00BE1F83">
              <w:rPr>
                <w:iCs/>
                <w:sz w:val="16"/>
              </w:rPr>
              <w:t xml:space="preserve"> RTT and perform RACH to target)</w:t>
            </w:r>
          </w:p>
          <w:p w14:paraId="58119C75" w14:textId="77777777" w:rsidR="006E43B3" w:rsidRPr="00BE1F83" w:rsidRDefault="006E43B3" w:rsidP="00BE1F83">
            <w:pPr>
              <w:numPr>
                <w:ilvl w:val="0"/>
                <w:numId w:val="47"/>
              </w:numPr>
              <w:overflowPunct w:val="0"/>
              <w:autoSpaceDE w:val="0"/>
              <w:autoSpaceDN w:val="0"/>
              <w:adjustRightInd w:val="0"/>
              <w:spacing w:after="0" w:line="180" w:lineRule="exact"/>
              <w:ind w:hanging="357"/>
              <w:jc w:val="both"/>
              <w:textAlignment w:val="baseline"/>
              <w:rPr>
                <w:iCs/>
                <w:sz w:val="16"/>
              </w:rPr>
            </w:pPr>
            <w:r w:rsidRPr="00BE1F83">
              <w:rPr>
                <w:iCs/>
                <w:sz w:val="16"/>
              </w:rPr>
              <w:t xml:space="preserve">If the </w:t>
            </w:r>
            <w:r w:rsidRPr="00BE1F83">
              <w:rPr>
                <w:iCs/>
                <w:sz w:val="16"/>
                <w:highlight w:val="yellow"/>
              </w:rPr>
              <w:t>side condition</w:t>
            </w:r>
            <w:r w:rsidRPr="00BE1F83">
              <w:rPr>
                <w:iCs/>
                <w:sz w:val="16"/>
              </w:rPr>
              <w:t xml:space="preserve"> is not met,</w:t>
            </w:r>
          </w:p>
          <w:p w14:paraId="36AC2353" w14:textId="77777777" w:rsidR="006E43B3" w:rsidRPr="00BE1F83" w:rsidRDefault="006E43B3" w:rsidP="00BE1F83">
            <w:pPr>
              <w:numPr>
                <w:ilvl w:val="1"/>
                <w:numId w:val="47"/>
              </w:numPr>
              <w:overflowPunct w:val="0"/>
              <w:autoSpaceDE w:val="0"/>
              <w:autoSpaceDN w:val="0"/>
              <w:adjustRightInd w:val="0"/>
              <w:spacing w:after="0" w:line="180" w:lineRule="exact"/>
              <w:ind w:hanging="357"/>
              <w:jc w:val="both"/>
              <w:textAlignment w:val="baseline"/>
              <w:rPr>
                <w:iCs/>
                <w:sz w:val="16"/>
              </w:rPr>
            </w:pPr>
            <w:r w:rsidRPr="00BE1F83">
              <w:rPr>
                <w:iCs/>
                <w:sz w:val="16"/>
                <w:highlight w:val="yellow"/>
              </w:rPr>
              <w:t>Requirements are not applied</w:t>
            </w:r>
            <w:r w:rsidRPr="00BE1F83">
              <w:rPr>
                <w:iCs/>
                <w:sz w:val="16"/>
              </w:rPr>
              <w:t>, i.e. extra delay won’t be explicitly defined</w:t>
            </w:r>
          </w:p>
          <w:p w14:paraId="04D3F36F" w14:textId="77777777" w:rsidR="006E43B3" w:rsidRPr="00E631E6" w:rsidRDefault="006E43B3" w:rsidP="00BE1F83">
            <w:pPr>
              <w:numPr>
                <w:ilvl w:val="1"/>
                <w:numId w:val="47"/>
              </w:numPr>
              <w:overflowPunct w:val="0"/>
              <w:autoSpaceDE w:val="0"/>
              <w:autoSpaceDN w:val="0"/>
              <w:adjustRightInd w:val="0"/>
              <w:spacing w:after="0" w:line="180" w:lineRule="exact"/>
              <w:ind w:hanging="357"/>
              <w:jc w:val="both"/>
              <w:textAlignment w:val="baseline"/>
              <w:rPr>
                <w:iCs/>
              </w:rPr>
            </w:pPr>
            <w:r w:rsidRPr="00BE1F83">
              <w:rPr>
                <w:iCs/>
                <w:sz w:val="16"/>
              </w:rPr>
              <w:t>Note: UE is allowed not to perform RRM measurement [and reporting] if the side condition is not met before acquiring new ephemeris information</w:t>
            </w:r>
          </w:p>
        </w:tc>
      </w:tr>
    </w:tbl>
    <w:p w14:paraId="737CFBDC" w14:textId="512B5D01" w:rsidR="006E43B3" w:rsidRPr="00F81859" w:rsidRDefault="006E43B3" w:rsidP="00BE1F83">
      <w:pPr>
        <w:spacing w:before="180"/>
        <w:rPr>
          <w:b/>
          <w:iCs/>
        </w:rPr>
      </w:pPr>
      <w:r>
        <w:rPr>
          <w:rFonts w:hint="eastAsia"/>
          <w:b/>
          <w:iCs/>
        </w:rPr>
        <w:t>Observation</w:t>
      </w:r>
      <w:r>
        <w:rPr>
          <w:b/>
          <w:iCs/>
        </w:rPr>
        <w:t xml:space="preserve"> </w:t>
      </w:r>
      <w:r w:rsidR="00BE1F83">
        <w:rPr>
          <w:b/>
          <w:iCs/>
        </w:rPr>
        <w:t>2</w:t>
      </w:r>
      <w:r w:rsidRPr="00F81859">
        <w:rPr>
          <w:b/>
          <w:iCs/>
        </w:rPr>
        <w:t xml:space="preserve">: </w:t>
      </w:r>
      <w:r w:rsidR="00BE1F83">
        <w:rPr>
          <w:b/>
          <w:iCs/>
        </w:rPr>
        <w:t>Providing NTN neighbour cell information requires the UE to maintain the time-variant information, leading to excessive power consumption.</w:t>
      </w:r>
    </w:p>
    <w:p w14:paraId="301DE603" w14:textId="6B59CEC9" w:rsidR="00D14DC9" w:rsidRDefault="00D14DC9" w:rsidP="00BE1F83">
      <w:pPr>
        <w:rPr>
          <w:rFonts w:eastAsiaTheme="minorEastAsia"/>
          <w:iCs/>
          <w:lang w:eastAsia="zh-CN"/>
        </w:rPr>
      </w:pPr>
      <w:r>
        <w:rPr>
          <w:rFonts w:eastAsiaTheme="minorEastAsia" w:hint="eastAsia"/>
          <w:iCs/>
          <w:lang w:eastAsia="zh-CN"/>
        </w:rPr>
        <w:t xml:space="preserve">Since R17, the common </w:t>
      </w:r>
      <w:r>
        <w:rPr>
          <w:rFonts w:eastAsiaTheme="minorEastAsia"/>
          <w:iCs/>
          <w:lang w:eastAsia="zh-CN"/>
        </w:rPr>
        <w:t>understanding</w:t>
      </w:r>
      <w:r>
        <w:rPr>
          <w:rFonts w:eastAsiaTheme="minorEastAsia" w:hint="eastAsia"/>
          <w:iCs/>
          <w:lang w:eastAsia="zh-CN"/>
        </w:rPr>
        <w:t xml:space="preserve"> </w:t>
      </w:r>
      <w:r>
        <w:rPr>
          <w:rFonts w:eastAsiaTheme="minorEastAsia"/>
          <w:iCs/>
          <w:lang w:eastAsia="zh-CN"/>
        </w:rPr>
        <w:t>is that TN cells are always prioritized over NTN cells, and it can be up to NW implementation to configure a lower priority for NTN frequencies.</w:t>
      </w:r>
    </w:p>
    <w:p w14:paraId="60268399" w14:textId="25D83725" w:rsidR="006B4175" w:rsidRDefault="006B4175" w:rsidP="00BE1F83">
      <w:pPr>
        <w:rPr>
          <w:rFonts w:eastAsiaTheme="minorEastAsia"/>
          <w:iCs/>
          <w:lang w:eastAsia="zh-CN"/>
        </w:rPr>
      </w:pPr>
      <w:r>
        <w:rPr>
          <w:rFonts w:eastAsiaTheme="minorEastAsia"/>
          <w:iCs/>
          <w:lang w:eastAsia="zh-CN"/>
        </w:rPr>
        <w:t xml:space="preserve">According to TS 38.304, </w:t>
      </w:r>
      <w:r w:rsidR="00B25D3B">
        <w:rPr>
          <w:rFonts w:eastAsiaTheme="minorEastAsia"/>
          <w:iCs/>
          <w:lang w:eastAsia="zh-CN"/>
        </w:rPr>
        <w:t>if the serving cell quality satisfies a certain threshold, the UE does not need to perform measurements on neighbour cell of equal or lower priority (note that the other descriptions related to location-based measurement initiation are not relevant to UEs camping on a TN frequencies</w:t>
      </w:r>
      <w:r w:rsidR="00B25D3B">
        <w:rPr>
          <w:rFonts w:eastAsiaTheme="minorEastAsia" w:hint="eastAsia"/>
          <w:iCs/>
          <w:lang w:eastAsia="zh-CN"/>
        </w:rPr>
        <w:t>).</w:t>
      </w:r>
    </w:p>
    <w:tbl>
      <w:tblPr>
        <w:tblStyle w:val="af4"/>
        <w:tblW w:w="0" w:type="auto"/>
        <w:tblLook w:val="04A0" w:firstRow="1" w:lastRow="0" w:firstColumn="1" w:lastColumn="0" w:noHBand="0" w:noVBand="1"/>
      </w:tblPr>
      <w:tblGrid>
        <w:gridCol w:w="9345"/>
      </w:tblGrid>
      <w:tr w:rsidR="00B25D3B" w14:paraId="43E69B19" w14:textId="77777777" w:rsidTr="00B25D3B">
        <w:tc>
          <w:tcPr>
            <w:tcW w:w="9345" w:type="dxa"/>
          </w:tcPr>
          <w:p w14:paraId="6102F086" w14:textId="77777777" w:rsidR="00B25D3B" w:rsidRPr="00831724" w:rsidRDefault="00B25D3B" w:rsidP="00B25D3B">
            <w:pPr>
              <w:pStyle w:val="B2"/>
              <w:rPr>
                <w:lang w:eastAsia="zh-CN"/>
              </w:rPr>
            </w:pPr>
            <w:r w:rsidRPr="00831724">
              <w:rPr>
                <w:lang w:eastAsia="zh-CN"/>
              </w:rPr>
              <w:t>-</w:t>
            </w:r>
            <w:r w:rsidRPr="00831724">
              <w:rPr>
                <w:lang w:eastAsia="zh-CN"/>
              </w:rPr>
              <w:tab/>
              <w:t>For a NR inter-frequency with an equal or lower reselection priority than the reselection priority</w:t>
            </w:r>
            <w:r w:rsidRPr="00831724" w:rsidDel="007F695C">
              <w:t xml:space="preserve"> </w:t>
            </w:r>
            <w:r w:rsidRPr="00831724">
              <w:rPr>
                <w:lang w:eastAsia="zh-CN"/>
              </w:rPr>
              <w:t>of the current NR frequency and for inter-RAT frequency with lower reselection priority than the reselection priority</w:t>
            </w:r>
            <w:r w:rsidRPr="00831724" w:rsidDel="007F695C">
              <w:t xml:space="preserve"> </w:t>
            </w:r>
            <w:r w:rsidRPr="00831724">
              <w:rPr>
                <w:lang w:eastAsia="zh-CN"/>
              </w:rPr>
              <w:t>of the current NR frequency:</w:t>
            </w:r>
          </w:p>
          <w:p w14:paraId="48D23931" w14:textId="77777777" w:rsidR="00B25D3B" w:rsidRPr="00831724" w:rsidRDefault="00B25D3B" w:rsidP="00B25D3B">
            <w:pPr>
              <w:pStyle w:val="B3"/>
            </w:pPr>
            <w:r w:rsidRPr="00831724">
              <w:t>-</w:t>
            </w:r>
            <w:r w:rsidRPr="00831724">
              <w:tab/>
              <w:t xml:space="preserve">If the serving cell fulfils </w:t>
            </w:r>
            <w:proofErr w:type="spellStart"/>
            <w:r w:rsidRPr="00B25D3B">
              <w:rPr>
                <w:highlight w:val="yellow"/>
              </w:rPr>
              <w:t>Srxlev</w:t>
            </w:r>
            <w:proofErr w:type="spellEnd"/>
            <w:r w:rsidRPr="00B25D3B">
              <w:rPr>
                <w:highlight w:val="yellow"/>
              </w:rPr>
              <w:t xml:space="preserve"> &gt; </w:t>
            </w:r>
            <w:proofErr w:type="spellStart"/>
            <w:r w:rsidRPr="00B25D3B">
              <w:rPr>
                <w:highlight w:val="yellow"/>
              </w:rPr>
              <w:t>S</w:t>
            </w:r>
            <w:r w:rsidRPr="00B25D3B">
              <w:rPr>
                <w:highlight w:val="yellow"/>
                <w:vertAlign w:val="subscript"/>
              </w:rPr>
              <w:t>nonIntraSearchP</w:t>
            </w:r>
            <w:proofErr w:type="spellEnd"/>
            <w:r w:rsidRPr="00B25D3B">
              <w:rPr>
                <w:highlight w:val="yellow"/>
              </w:rPr>
              <w:t xml:space="preserve"> and </w:t>
            </w:r>
            <w:proofErr w:type="spellStart"/>
            <w:r w:rsidRPr="00B25D3B">
              <w:rPr>
                <w:highlight w:val="yellow"/>
              </w:rPr>
              <w:t>Squal</w:t>
            </w:r>
            <w:proofErr w:type="spellEnd"/>
            <w:r w:rsidRPr="00B25D3B">
              <w:rPr>
                <w:highlight w:val="yellow"/>
              </w:rPr>
              <w:t xml:space="preserve"> &gt; </w:t>
            </w:r>
            <w:proofErr w:type="spellStart"/>
            <w:r w:rsidRPr="00B25D3B">
              <w:rPr>
                <w:highlight w:val="yellow"/>
              </w:rPr>
              <w:t>S</w:t>
            </w:r>
            <w:r w:rsidRPr="00B25D3B">
              <w:rPr>
                <w:highlight w:val="yellow"/>
                <w:vertAlign w:val="subscript"/>
              </w:rPr>
              <w:t>nonIntraSearchQ</w:t>
            </w:r>
            <w:proofErr w:type="spellEnd"/>
            <w:r w:rsidRPr="00831724">
              <w:t>:</w:t>
            </w:r>
          </w:p>
          <w:p w14:paraId="43E8F7F3" w14:textId="77777777" w:rsidR="00B25D3B" w:rsidRPr="00831724" w:rsidRDefault="00B25D3B" w:rsidP="00B25D3B">
            <w:pPr>
              <w:pStyle w:val="B4"/>
            </w:pPr>
            <w:r w:rsidRPr="00831724">
              <w:t>-</w:t>
            </w:r>
            <w:r w:rsidRPr="00831724">
              <w:tab/>
            </w:r>
            <w:r w:rsidRPr="00831724">
              <w:rPr>
                <w:rFonts w:eastAsia="Yu Mincho"/>
              </w:rPr>
              <w:t xml:space="preserve">If </w:t>
            </w:r>
            <w:proofErr w:type="spellStart"/>
            <w:r w:rsidRPr="00831724">
              <w:rPr>
                <w:rFonts w:eastAsia="Yu Mincho"/>
                <w:i/>
              </w:rPr>
              <w:t>distanceThresh</w:t>
            </w:r>
            <w:proofErr w:type="spellEnd"/>
            <w:r w:rsidRPr="00831724">
              <w:rPr>
                <w:rFonts w:eastAsia="Yu Mincho"/>
              </w:rPr>
              <w:t xml:space="preserve"> and </w:t>
            </w:r>
            <w:proofErr w:type="spellStart"/>
            <w:r w:rsidRPr="00831724">
              <w:rPr>
                <w:rFonts w:eastAsia="Yu Mincho"/>
                <w:i/>
              </w:rPr>
              <w:t>referenceLocation</w:t>
            </w:r>
            <w:proofErr w:type="spellEnd"/>
            <w:r w:rsidRPr="00831724">
              <w:rPr>
                <w:rFonts w:eastAsia="Yu Mincho"/>
              </w:rPr>
              <w:t xml:space="preserve"> are broadcasted in SIB19, and if UE supports location-based measurement initiation and has obtained its</w:t>
            </w:r>
            <w:r w:rsidRPr="00831724">
              <w:rPr>
                <w:rFonts w:eastAsia="等线"/>
              </w:rPr>
              <w:t xml:space="preserve"> UE location information:</w:t>
            </w:r>
          </w:p>
          <w:p w14:paraId="5B7CF560" w14:textId="77777777" w:rsidR="00B25D3B" w:rsidRPr="00831724" w:rsidRDefault="00B25D3B" w:rsidP="00B25D3B">
            <w:pPr>
              <w:pStyle w:val="B5"/>
              <w:rPr>
                <w:rFonts w:eastAsia="Yu Mincho"/>
              </w:rPr>
            </w:pPr>
            <w:r w:rsidRPr="00831724">
              <w:t>-</w:t>
            </w:r>
            <w:r w:rsidRPr="00831724">
              <w:tab/>
              <w:t xml:space="preserve">If the distance between UE and the serving cell reference location </w:t>
            </w:r>
            <w:proofErr w:type="spellStart"/>
            <w:r w:rsidRPr="00831724">
              <w:rPr>
                <w:rFonts w:eastAsia="宋体"/>
                <w:i/>
              </w:rPr>
              <w:t>referenceLocation</w:t>
            </w:r>
            <w:proofErr w:type="spellEnd"/>
            <w:r w:rsidRPr="00831724">
              <w:rPr>
                <w:rFonts w:eastAsia="宋体"/>
                <w:i/>
              </w:rPr>
              <w:t xml:space="preserve"> </w:t>
            </w:r>
            <w:r w:rsidRPr="00831724">
              <w:t xml:space="preserve">is shorter than </w:t>
            </w:r>
            <w:proofErr w:type="spellStart"/>
            <w:r w:rsidRPr="00831724">
              <w:rPr>
                <w:rFonts w:eastAsia="Yu Mincho"/>
                <w:i/>
              </w:rPr>
              <w:t>distanceThresh</w:t>
            </w:r>
            <w:proofErr w:type="spellEnd"/>
            <w:r w:rsidRPr="00831724">
              <w:t>,</w:t>
            </w:r>
            <w:r w:rsidRPr="00831724">
              <w:rPr>
                <w:rFonts w:eastAsia="Yu Mincho"/>
              </w:rPr>
              <w:t xml:space="preserve"> the UE may choose not to perform measurements of NR inter-frequency cells of equal or lower priority, or inter-RAT frequency cells of lower priority;</w:t>
            </w:r>
          </w:p>
          <w:p w14:paraId="63DE4461" w14:textId="77777777" w:rsidR="00B25D3B" w:rsidRPr="00831724" w:rsidRDefault="00B25D3B" w:rsidP="00B25D3B">
            <w:pPr>
              <w:pStyle w:val="B5"/>
              <w:rPr>
                <w:rFonts w:eastAsia="Yu Mincho"/>
              </w:rPr>
            </w:pPr>
            <w:r w:rsidRPr="00831724">
              <w:t>-</w:t>
            </w:r>
            <w:r w:rsidRPr="00831724">
              <w:tab/>
            </w:r>
            <w:r w:rsidRPr="00831724">
              <w:rPr>
                <w:rFonts w:eastAsia="宋体"/>
              </w:rPr>
              <w:t>Else</w:t>
            </w:r>
            <w:r w:rsidRPr="00831724">
              <w:t xml:space="preserve">, </w:t>
            </w:r>
            <w:r w:rsidRPr="00831724">
              <w:rPr>
                <w:rFonts w:eastAsia="Yu Mincho"/>
              </w:rPr>
              <w:t>the UE shall perform measurements of NR inter-frequency cells of equal or lower priority, or inter-RAT frequency cells of lower priority according to TS 38.133 [8];</w:t>
            </w:r>
          </w:p>
          <w:p w14:paraId="60F23BA4" w14:textId="77777777" w:rsidR="00B25D3B" w:rsidRPr="00831724" w:rsidRDefault="00B25D3B" w:rsidP="00B25D3B">
            <w:pPr>
              <w:pStyle w:val="B4"/>
              <w:rPr>
                <w:rFonts w:eastAsia="Yu Mincho"/>
              </w:rPr>
            </w:pPr>
            <w:r w:rsidRPr="00831724">
              <w:t>-</w:t>
            </w:r>
            <w:r w:rsidRPr="00831724">
              <w:tab/>
            </w:r>
            <w:r w:rsidRPr="00B25D3B">
              <w:rPr>
                <w:rFonts w:eastAsia="宋体"/>
                <w:highlight w:val="yellow"/>
              </w:rPr>
              <w:t>Else</w:t>
            </w:r>
            <w:r w:rsidRPr="00B25D3B">
              <w:rPr>
                <w:highlight w:val="yellow"/>
              </w:rPr>
              <w:t>, the UE may choose not to perform measurements of NR inter-frequency cells of equal or lower priority, or inter-RAT frequency cells of lower priority;</w:t>
            </w:r>
          </w:p>
          <w:p w14:paraId="31CDEC14" w14:textId="01184A3A" w:rsidR="00B25D3B" w:rsidRDefault="00B25D3B" w:rsidP="00B25D3B">
            <w:pPr>
              <w:pStyle w:val="B3"/>
              <w:rPr>
                <w:rFonts w:eastAsiaTheme="minorEastAsia"/>
                <w:iCs/>
                <w:lang w:eastAsia="zh-CN"/>
              </w:rPr>
            </w:pPr>
            <w:r w:rsidRPr="00831724">
              <w:lastRenderedPageBreak/>
              <w:t>-</w:t>
            </w:r>
            <w:r w:rsidRPr="00831724">
              <w:tab/>
            </w:r>
            <w:r w:rsidRPr="00831724">
              <w:rPr>
                <w:rFonts w:eastAsia="宋体"/>
              </w:rPr>
              <w:t>Else</w:t>
            </w:r>
            <w:r w:rsidRPr="00831724">
              <w:t>,</w:t>
            </w:r>
            <w:r w:rsidRPr="00831724">
              <w:rPr>
                <w:i/>
              </w:rPr>
              <w:t xml:space="preserve"> </w:t>
            </w:r>
            <w:r w:rsidRPr="00831724">
              <w:t>the UE shall perform measurements of NR inter-frequency cells of equal or lower priority, or inter-RAT frequency cells of lower priority according to TS 38.133 [8].</w:t>
            </w:r>
          </w:p>
        </w:tc>
      </w:tr>
    </w:tbl>
    <w:p w14:paraId="73A4DA5C" w14:textId="104E5872" w:rsidR="00B25D3B" w:rsidRDefault="00AD7CFF" w:rsidP="00B25D3B">
      <w:pPr>
        <w:spacing w:before="180"/>
        <w:rPr>
          <w:rFonts w:eastAsiaTheme="minorEastAsia"/>
          <w:iCs/>
          <w:lang w:eastAsia="zh-CN"/>
        </w:rPr>
      </w:pPr>
      <w:r>
        <w:rPr>
          <w:rFonts w:eastAsiaTheme="minorEastAsia"/>
          <w:iCs/>
          <w:lang w:eastAsia="zh-CN"/>
        </w:rPr>
        <w:lastRenderedPageBreak/>
        <w:t>W</w:t>
      </w:r>
      <w:r w:rsidR="00B25D3B">
        <w:rPr>
          <w:rFonts w:eastAsiaTheme="minorEastAsia"/>
          <w:iCs/>
          <w:lang w:eastAsia="zh-CN"/>
        </w:rPr>
        <w:t xml:space="preserve">hen camping on a TN cell and the TN cell quality is good (satisfying the thresholds of </w:t>
      </w:r>
      <w:proofErr w:type="spellStart"/>
      <w:r w:rsidR="00B25D3B" w:rsidRPr="00831724">
        <w:t>S</w:t>
      </w:r>
      <w:r w:rsidR="00B25D3B" w:rsidRPr="00831724">
        <w:rPr>
          <w:vertAlign w:val="subscript"/>
        </w:rPr>
        <w:t>nonIntraSearchP</w:t>
      </w:r>
      <w:proofErr w:type="spellEnd"/>
      <w:r w:rsidR="00B25D3B" w:rsidRPr="00831724">
        <w:t xml:space="preserve"> and </w:t>
      </w:r>
      <w:proofErr w:type="spellStart"/>
      <w:r w:rsidR="00B25D3B" w:rsidRPr="00831724">
        <w:t>S</w:t>
      </w:r>
      <w:r w:rsidR="00B25D3B" w:rsidRPr="00831724">
        <w:rPr>
          <w:vertAlign w:val="subscript"/>
        </w:rPr>
        <w:t>nonIntraSearchQ</w:t>
      </w:r>
      <w:proofErr w:type="spellEnd"/>
      <w:r w:rsidR="00B25D3B">
        <w:rPr>
          <w:rFonts w:eastAsiaTheme="minorEastAsia"/>
          <w:iCs/>
          <w:lang w:eastAsia="zh-CN"/>
        </w:rPr>
        <w:t xml:space="preserve">), the UE does not need to measure NTN neighbour cell (since NTN frequency priorities will not be higher than TN), </w:t>
      </w:r>
      <w:r>
        <w:rPr>
          <w:rFonts w:eastAsiaTheme="minorEastAsia"/>
          <w:iCs/>
          <w:lang w:eastAsia="zh-CN"/>
        </w:rPr>
        <w:t xml:space="preserve">in this case it does not make sense for the UE </w:t>
      </w:r>
      <w:r w:rsidR="00B25D3B">
        <w:rPr>
          <w:rFonts w:eastAsiaTheme="minorEastAsia"/>
          <w:iCs/>
          <w:lang w:eastAsia="zh-CN"/>
        </w:rPr>
        <w:t>to obtain the NTN neighbour cell assistance information.</w:t>
      </w:r>
    </w:p>
    <w:p w14:paraId="06D0EA50" w14:textId="45049AA9" w:rsidR="00B25D3B" w:rsidRPr="00F81859" w:rsidRDefault="00B25D3B" w:rsidP="00B25D3B">
      <w:pPr>
        <w:rPr>
          <w:b/>
          <w:iCs/>
        </w:rPr>
      </w:pPr>
      <w:r>
        <w:rPr>
          <w:rFonts w:hint="eastAsia"/>
          <w:b/>
          <w:iCs/>
        </w:rPr>
        <w:t>Observation</w:t>
      </w:r>
      <w:r>
        <w:rPr>
          <w:b/>
          <w:iCs/>
        </w:rPr>
        <w:t xml:space="preserve"> 3</w:t>
      </w:r>
      <w:r w:rsidRPr="00F81859">
        <w:rPr>
          <w:b/>
          <w:iCs/>
        </w:rPr>
        <w:t xml:space="preserve">: </w:t>
      </w:r>
      <w:r>
        <w:rPr>
          <w:b/>
          <w:iCs/>
        </w:rPr>
        <w:t>The NTN frequency priorities will not be higher than TN frequencies, so UEs need not measure NTN</w:t>
      </w:r>
      <w:r w:rsidR="00092318">
        <w:rPr>
          <w:b/>
          <w:iCs/>
        </w:rPr>
        <w:t xml:space="preserve"> frequencies if TN serving cell fulfils </w:t>
      </w:r>
      <w:proofErr w:type="spellStart"/>
      <w:r w:rsidR="00092318" w:rsidRPr="00092318">
        <w:rPr>
          <w:b/>
          <w:iCs/>
        </w:rPr>
        <w:t>Srxlev</w:t>
      </w:r>
      <w:proofErr w:type="spellEnd"/>
      <w:r w:rsidR="00092318" w:rsidRPr="00092318">
        <w:rPr>
          <w:b/>
          <w:iCs/>
        </w:rPr>
        <w:t xml:space="preserve"> &gt; </w:t>
      </w:r>
      <w:proofErr w:type="spellStart"/>
      <w:r w:rsidR="00092318" w:rsidRPr="00092318">
        <w:rPr>
          <w:b/>
          <w:iCs/>
        </w:rPr>
        <w:t>S</w:t>
      </w:r>
      <w:r w:rsidR="00092318" w:rsidRPr="00092318">
        <w:rPr>
          <w:b/>
          <w:iCs/>
          <w:vertAlign w:val="subscript"/>
        </w:rPr>
        <w:t>nonIntraSearchP</w:t>
      </w:r>
      <w:proofErr w:type="spellEnd"/>
      <w:r w:rsidR="00092318" w:rsidRPr="00092318">
        <w:rPr>
          <w:b/>
          <w:iCs/>
        </w:rPr>
        <w:t xml:space="preserve"> and </w:t>
      </w:r>
      <w:proofErr w:type="spellStart"/>
      <w:r w:rsidR="00092318" w:rsidRPr="00092318">
        <w:rPr>
          <w:b/>
          <w:iCs/>
        </w:rPr>
        <w:t>Squal</w:t>
      </w:r>
      <w:proofErr w:type="spellEnd"/>
      <w:r w:rsidR="00092318" w:rsidRPr="00092318">
        <w:rPr>
          <w:b/>
          <w:iCs/>
        </w:rPr>
        <w:t xml:space="preserve"> &gt; </w:t>
      </w:r>
      <w:proofErr w:type="spellStart"/>
      <w:r w:rsidR="00092318" w:rsidRPr="00092318">
        <w:rPr>
          <w:b/>
          <w:iCs/>
        </w:rPr>
        <w:t>S</w:t>
      </w:r>
      <w:r w:rsidR="00092318" w:rsidRPr="00092318">
        <w:rPr>
          <w:b/>
          <w:iCs/>
          <w:vertAlign w:val="subscript"/>
        </w:rPr>
        <w:t>nonIntraSearchQ</w:t>
      </w:r>
      <w:proofErr w:type="spellEnd"/>
      <w:r w:rsidR="00092318">
        <w:rPr>
          <w:b/>
          <w:iCs/>
        </w:rPr>
        <w:t>.</w:t>
      </w:r>
    </w:p>
    <w:p w14:paraId="03E8A31C" w14:textId="1BE5FC67" w:rsidR="00CF4B42" w:rsidRDefault="00CF4B42" w:rsidP="00F97FE4">
      <w:pPr>
        <w:rPr>
          <w:rFonts w:eastAsiaTheme="minorEastAsia"/>
          <w:iCs/>
          <w:lang w:eastAsia="zh-CN"/>
        </w:rPr>
      </w:pPr>
      <w:r>
        <w:rPr>
          <w:rFonts w:eastAsiaTheme="minorEastAsia" w:hint="eastAsia"/>
          <w:iCs/>
          <w:lang w:eastAsia="zh-CN"/>
        </w:rPr>
        <w:t>A</w:t>
      </w:r>
      <w:r>
        <w:rPr>
          <w:rFonts w:eastAsiaTheme="minorEastAsia"/>
          <w:iCs/>
          <w:lang w:eastAsia="zh-CN"/>
        </w:rPr>
        <w:t>nother concern is that, the provision of NTN neighbour cell information may affect legacy UEs. For measurement towards NTN neighbour cell, the UE needs both the satellite assistance information and the frequency information. Even if satellite assistance information is provided, the NW needs to include the NTN frequencies in SIB3/4</w:t>
      </w:r>
      <w:r w:rsidR="00981C3E">
        <w:rPr>
          <w:rFonts w:eastAsiaTheme="minorEastAsia" w:hint="eastAsia"/>
          <w:iCs/>
          <w:lang w:eastAsia="zh-CN"/>
        </w:rPr>
        <w:t>,</w:t>
      </w:r>
      <w:r w:rsidR="00981C3E">
        <w:rPr>
          <w:rFonts w:eastAsiaTheme="minorEastAsia"/>
          <w:iCs/>
          <w:lang w:eastAsia="zh-CN"/>
        </w:rPr>
        <w:t xml:space="preserve"> and legacy UEs may need to update SIB3/4 frequently if the neighbour satellites (if operating on different frequencies) of the TN cell change frequently</w:t>
      </w:r>
      <w:r>
        <w:rPr>
          <w:rFonts w:eastAsiaTheme="minorEastAsia"/>
          <w:iCs/>
          <w:lang w:eastAsia="zh-CN"/>
        </w:rPr>
        <w:t>.</w:t>
      </w:r>
      <w:r w:rsidR="00981C3E">
        <w:rPr>
          <w:rFonts w:eastAsiaTheme="minorEastAsia"/>
          <w:iCs/>
          <w:lang w:eastAsia="zh-CN"/>
        </w:rPr>
        <w:t xml:space="preserve"> </w:t>
      </w:r>
    </w:p>
    <w:p w14:paraId="21C2DA4A" w14:textId="1A6426DF" w:rsidR="00CF4B42" w:rsidRPr="00F81859" w:rsidRDefault="00CF4B42" w:rsidP="00CF4B42">
      <w:pPr>
        <w:rPr>
          <w:b/>
          <w:iCs/>
        </w:rPr>
      </w:pPr>
      <w:r>
        <w:rPr>
          <w:rFonts w:hint="eastAsia"/>
          <w:b/>
          <w:iCs/>
        </w:rPr>
        <w:t>Observation</w:t>
      </w:r>
      <w:r>
        <w:rPr>
          <w:b/>
          <w:iCs/>
        </w:rPr>
        <w:t xml:space="preserve"> 4</w:t>
      </w:r>
      <w:r w:rsidRPr="00F81859">
        <w:rPr>
          <w:b/>
          <w:iCs/>
        </w:rPr>
        <w:t xml:space="preserve">: </w:t>
      </w:r>
      <w:r>
        <w:rPr>
          <w:b/>
          <w:iCs/>
        </w:rPr>
        <w:t>For the UE to perform measurement towards NTN neighbour cell, the NTN frequencies need to be provided in SIB3/4, thus affecting legacy UEs.</w:t>
      </w:r>
    </w:p>
    <w:p w14:paraId="23A78B4C" w14:textId="77777777" w:rsidR="00F97FE4" w:rsidRDefault="00F97FE4" w:rsidP="00F97FE4">
      <w:pPr>
        <w:rPr>
          <w:rFonts w:eastAsiaTheme="minorEastAsia"/>
          <w:iCs/>
          <w:lang w:eastAsia="zh-CN"/>
        </w:rPr>
      </w:pPr>
      <w:r>
        <w:rPr>
          <w:rFonts w:eastAsiaTheme="minorEastAsia" w:hint="eastAsia"/>
          <w:iCs/>
          <w:lang w:eastAsia="zh-CN"/>
        </w:rPr>
        <w:t>B</w:t>
      </w:r>
      <w:r>
        <w:rPr>
          <w:rFonts w:eastAsiaTheme="minorEastAsia"/>
          <w:iCs/>
          <w:lang w:eastAsia="zh-CN"/>
        </w:rPr>
        <w:t>ased on the above, we do not think providing the NTN neighbour cell information is a low-hanging fruit. Of course from RAN2 perspective it is easy to design the signalling for this, but practically speaking it is not sure whether the TN operators can obtain the up-to-date assistance information of NTN, and even the SFTD information between TN and NTN so as to provide SMTC for UE to measure NTN neighbour cell.</w:t>
      </w:r>
    </w:p>
    <w:p w14:paraId="6D9798DB" w14:textId="77777777" w:rsidR="00F97FE4" w:rsidRPr="00F81859" w:rsidRDefault="00F97FE4" w:rsidP="00F97FE4">
      <w:pPr>
        <w:rPr>
          <w:b/>
          <w:iCs/>
        </w:rPr>
      </w:pPr>
      <w:r>
        <w:rPr>
          <w:b/>
          <w:iCs/>
        </w:rPr>
        <w:t>Proposal 1</w:t>
      </w:r>
      <w:r w:rsidRPr="00F81859">
        <w:rPr>
          <w:b/>
          <w:iCs/>
        </w:rPr>
        <w:t xml:space="preserve">: </w:t>
      </w:r>
      <w:r>
        <w:rPr>
          <w:b/>
          <w:iCs/>
        </w:rPr>
        <w:t>Provision of NTN neighbour cell assistance information by a TN cell is not considered in this release.</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4" w:name="_Toc423019950"/>
      <w:bookmarkStart w:id="5" w:name="_Toc423020279"/>
      <w:bookmarkStart w:id="6" w:name="_Toc423020296"/>
      <w:bookmarkEnd w:id="2"/>
      <w:bookmarkEnd w:id="3"/>
      <w:bookmarkEnd w:id="4"/>
      <w:bookmarkEnd w:id="5"/>
      <w:bookmarkEnd w:id="6"/>
      <w:r w:rsidRPr="007D3E81">
        <w:rPr>
          <w:rFonts w:eastAsia="宋体"/>
          <w:lang w:eastAsia="zh-CN"/>
        </w:rPr>
        <w:t>C</w:t>
      </w:r>
      <w:r w:rsidR="001A1F92" w:rsidRPr="007D3E81">
        <w:rPr>
          <w:rFonts w:eastAsia="宋体"/>
          <w:lang w:eastAsia="zh-CN"/>
        </w:rPr>
        <w:t>onclusion</w:t>
      </w:r>
    </w:p>
    <w:p w14:paraId="5CC92A73" w14:textId="4155E6E9" w:rsidR="006E43B3" w:rsidRPr="008C0A02" w:rsidRDefault="006E43B3" w:rsidP="00DB6C19">
      <w:pPr>
        <w:pStyle w:val="afa"/>
        <w:spacing w:after="180"/>
        <w:rPr>
          <w:rFonts w:ascii="Times New Roman" w:hAnsi="Times New Roman"/>
          <w:iCs/>
        </w:rPr>
      </w:pPr>
      <w:bookmarkStart w:id="7" w:name="_Toc423020280"/>
      <w:bookmarkEnd w:id="7"/>
      <w:r w:rsidRPr="008C0A02">
        <w:rPr>
          <w:rFonts w:ascii="Times New Roman" w:hAnsi="Times New Roman"/>
          <w:iCs/>
        </w:rPr>
        <w:t xml:space="preserve">Based on the discussion above we have </w:t>
      </w:r>
      <w:r w:rsidR="002D3084">
        <w:rPr>
          <w:rFonts w:ascii="Times New Roman" w:hAnsi="Times New Roman"/>
          <w:iCs/>
        </w:rPr>
        <w:t xml:space="preserve">the </w:t>
      </w:r>
      <w:r w:rsidRPr="008C0A02">
        <w:rPr>
          <w:rFonts w:ascii="Times New Roman" w:hAnsi="Times New Roman"/>
          <w:iCs/>
        </w:rPr>
        <w:t>following observations and proposals:</w:t>
      </w:r>
      <w:r w:rsidRPr="008C0A02">
        <w:rPr>
          <w:rFonts w:ascii="Times New Roman" w:hAnsi="Times New Roman"/>
          <w:iCs/>
        </w:rPr>
        <w:fldChar w:fldCharType="begin"/>
      </w:r>
      <w:r w:rsidRPr="008C0A02">
        <w:rPr>
          <w:rFonts w:ascii="Times New Roman" w:hAnsi="Times New Roman"/>
          <w:iCs/>
        </w:rPr>
        <w:instrText xml:space="preserve"> TOC \f \n \p " " \t "Observation,1" </w:instrText>
      </w:r>
      <w:r w:rsidRPr="008C0A02">
        <w:rPr>
          <w:rFonts w:ascii="Times New Roman" w:hAnsi="Times New Roman"/>
          <w:iCs/>
        </w:rPr>
        <w:fldChar w:fldCharType="separate"/>
      </w:r>
      <w:r w:rsidRPr="008C0A02">
        <w:rPr>
          <w:rFonts w:ascii="Times New Roman" w:hAnsi="Times New Roman"/>
          <w:iCs/>
        </w:rPr>
        <w:t xml:space="preserve"> </w:t>
      </w:r>
      <w:r w:rsidRPr="008C0A02">
        <w:rPr>
          <w:rFonts w:ascii="Times New Roman" w:hAnsi="Times New Roman"/>
          <w:iCs/>
        </w:rPr>
        <w:fldChar w:fldCharType="end"/>
      </w:r>
    </w:p>
    <w:p w14:paraId="10A71CC9" w14:textId="77777777" w:rsidR="002D3084" w:rsidRPr="00EC59A3" w:rsidRDefault="002D3084" w:rsidP="002D3084">
      <w:pPr>
        <w:rPr>
          <w:rFonts w:eastAsiaTheme="minorEastAsia"/>
          <w:b/>
          <w:iCs/>
          <w:lang w:eastAsia="zh-CN"/>
        </w:rPr>
      </w:pPr>
      <w:r w:rsidRPr="00EC59A3">
        <w:rPr>
          <w:rFonts w:eastAsiaTheme="minorEastAsia" w:hint="eastAsia"/>
          <w:b/>
          <w:iCs/>
          <w:lang w:eastAsia="zh-CN"/>
        </w:rPr>
        <w:t>O</w:t>
      </w:r>
      <w:r w:rsidRPr="00EC59A3">
        <w:rPr>
          <w:rFonts w:eastAsiaTheme="minorEastAsia"/>
          <w:b/>
          <w:iCs/>
          <w:lang w:eastAsia="zh-CN"/>
        </w:rPr>
        <w:t>b</w:t>
      </w:r>
      <w:r>
        <w:rPr>
          <w:rFonts w:eastAsiaTheme="minorEastAsia"/>
          <w:b/>
          <w:iCs/>
          <w:lang w:eastAsia="zh-CN"/>
        </w:rPr>
        <w:t>s</w:t>
      </w:r>
      <w:r w:rsidRPr="00EC59A3">
        <w:rPr>
          <w:rFonts w:eastAsiaTheme="minorEastAsia"/>
          <w:b/>
          <w:iCs/>
          <w:lang w:eastAsia="zh-CN"/>
        </w:rPr>
        <w:t>er</w:t>
      </w:r>
      <w:r>
        <w:rPr>
          <w:rFonts w:eastAsiaTheme="minorEastAsia"/>
          <w:b/>
          <w:iCs/>
          <w:lang w:eastAsia="zh-CN"/>
        </w:rPr>
        <w:t>v</w:t>
      </w:r>
      <w:r w:rsidRPr="00EC59A3">
        <w:rPr>
          <w:rFonts w:eastAsiaTheme="minorEastAsia"/>
          <w:b/>
          <w:iCs/>
          <w:lang w:eastAsia="zh-CN"/>
        </w:rPr>
        <w:t>ation</w:t>
      </w:r>
      <w:r>
        <w:rPr>
          <w:rFonts w:eastAsiaTheme="minorEastAsia"/>
          <w:b/>
          <w:iCs/>
          <w:lang w:eastAsia="zh-CN"/>
        </w:rPr>
        <w:t xml:space="preserve"> 1</w:t>
      </w:r>
      <w:r w:rsidRPr="00EC59A3">
        <w:rPr>
          <w:rFonts w:eastAsiaTheme="minorEastAsia"/>
          <w:b/>
          <w:iCs/>
          <w:lang w:eastAsia="zh-CN"/>
        </w:rPr>
        <w:t>:</w:t>
      </w:r>
      <w:r>
        <w:rPr>
          <w:rFonts w:eastAsiaTheme="minorEastAsia"/>
          <w:b/>
          <w:iCs/>
          <w:lang w:eastAsia="zh-CN"/>
        </w:rPr>
        <w:t xml:space="preserve"> For UEs in RRC_CONNECTED, and UEs in RRC_IDLE/RRC_INACTIVE that are still in TN coverage, the provision of NTN neighbour cell information is not useful.</w:t>
      </w:r>
    </w:p>
    <w:p w14:paraId="33C7501D" w14:textId="77777777" w:rsidR="002D3084" w:rsidRPr="00F81859" w:rsidRDefault="002D3084" w:rsidP="002D3084">
      <w:pPr>
        <w:rPr>
          <w:b/>
          <w:iCs/>
        </w:rPr>
      </w:pPr>
      <w:r>
        <w:rPr>
          <w:rFonts w:hint="eastAsia"/>
          <w:b/>
          <w:iCs/>
        </w:rPr>
        <w:t>Observation</w:t>
      </w:r>
      <w:r>
        <w:rPr>
          <w:b/>
          <w:iCs/>
        </w:rPr>
        <w:t xml:space="preserve"> 2</w:t>
      </w:r>
      <w:r w:rsidRPr="00F81859">
        <w:rPr>
          <w:b/>
          <w:iCs/>
        </w:rPr>
        <w:t xml:space="preserve">: </w:t>
      </w:r>
      <w:r>
        <w:rPr>
          <w:b/>
          <w:iCs/>
        </w:rPr>
        <w:t>Providing NTN neighbour cell information requires the UE to maintain the time-variant information, leading to excessive power consumption.</w:t>
      </w:r>
    </w:p>
    <w:p w14:paraId="178840A7" w14:textId="77777777" w:rsidR="002D3084" w:rsidRPr="00F81859" w:rsidRDefault="002D3084" w:rsidP="002D3084">
      <w:pPr>
        <w:rPr>
          <w:b/>
          <w:iCs/>
        </w:rPr>
      </w:pPr>
      <w:r>
        <w:rPr>
          <w:rFonts w:hint="eastAsia"/>
          <w:b/>
          <w:iCs/>
        </w:rPr>
        <w:t>Observation</w:t>
      </w:r>
      <w:r>
        <w:rPr>
          <w:b/>
          <w:iCs/>
        </w:rPr>
        <w:t xml:space="preserve"> 3</w:t>
      </w:r>
      <w:r w:rsidRPr="00F81859">
        <w:rPr>
          <w:b/>
          <w:iCs/>
        </w:rPr>
        <w:t xml:space="preserve">: </w:t>
      </w:r>
      <w:r>
        <w:rPr>
          <w:b/>
          <w:iCs/>
        </w:rPr>
        <w:t xml:space="preserve">The NTN frequency priorities will not be higher than TN frequencies, so UEs need not measure NTN frequencies if TN serving cell fulfils </w:t>
      </w:r>
      <w:proofErr w:type="spellStart"/>
      <w:r w:rsidRPr="00092318">
        <w:rPr>
          <w:b/>
          <w:iCs/>
        </w:rPr>
        <w:t>Srxlev</w:t>
      </w:r>
      <w:proofErr w:type="spellEnd"/>
      <w:r w:rsidRPr="00092318">
        <w:rPr>
          <w:b/>
          <w:iCs/>
        </w:rPr>
        <w:t xml:space="preserve"> &gt; </w:t>
      </w:r>
      <w:proofErr w:type="spellStart"/>
      <w:r w:rsidRPr="00092318">
        <w:rPr>
          <w:b/>
          <w:iCs/>
        </w:rPr>
        <w:t>S</w:t>
      </w:r>
      <w:r w:rsidRPr="00092318">
        <w:rPr>
          <w:b/>
          <w:iCs/>
          <w:vertAlign w:val="subscript"/>
        </w:rPr>
        <w:t>nonIntraSearchP</w:t>
      </w:r>
      <w:proofErr w:type="spellEnd"/>
      <w:r w:rsidRPr="00092318">
        <w:rPr>
          <w:b/>
          <w:iCs/>
        </w:rPr>
        <w:t xml:space="preserve"> and </w:t>
      </w:r>
      <w:proofErr w:type="spellStart"/>
      <w:r w:rsidRPr="00092318">
        <w:rPr>
          <w:b/>
          <w:iCs/>
        </w:rPr>
        <w:t>Squal</w:t>
      </w:r>
      <w:proofErr w:type="spellEnd"/>
      <w:r w:rsidRPr="00092318">
        <w:rPr>
          <w:b/>
          <w:iCs/>
        </w:rPr>
        <w:t xml:space="preserve"> &gt; </w:t>
      </w:r>
      <w:proofErr w:type="spellStart"/>
      <w:r w:rsidRPr="00092318">
        <w:rPr>
          <w:b/>
          <w:iCs/>
        </w:rPr>
        <w:t>S</w:t>
      </w:r>
      <w:r w:rsidRPr="00092318">
        <w:rPr>
          <w:b/>
          <w:iCs/>
          <w:vertAlign w:val="subscript"/>
        </w:rPr>
        <w:t>nonIntraSearchQ</w:t>
      </w:r>
      <w:proofErr w:type="spellEnd"/>
      <w:r>
        <w:rPr>
          <w:b/>
          <w:iCs/>
        </w:rPr>
        <w:t>.</w:t>
      </w:r>
    </w:p>
    <w:p w14:paraId="6589CD4A" w14:textId="77777777" w:rsidR="00CF4B42" w:rsidRPr="00F81859" w:rsidRDefault="00CF4B42" w:rsidP="00CF4B42">
      <w:pPr>
        <w:rPr>
          <w:b/>
          <w:iCs/>
        </w:rPr>
      </w:pPr>
      <w:r>
        <w:rPr>
          <w:rFonts w:hint="eastAsia"/>
          <w:b/>
          <w:iCs/>
        </w:rPr>
        <w:t>Observation</w:t>
      </w:r>
      <w:r>
        <w:rPr>
          <w:b/>
          <w:iCs/>
        </w:rPr>
        <w:t xml:space="preserve"> 4</w:t>
      </w:r>
      <w:r w:rsidRPr="00F81859">
        <w:rPr>
          <w:b/>
          <w:iCs/>
        </w:rPr>
        <w:t xml:space="preserve">: </w:t>
      </w:r>
      <w:r>
        <w:rPr>
          <w:b/>
          <w:iCs/>
        </w:rPr>
        <w:t>For the UE to perform measurement towards NTN neighbour cell, the NTN frequencies need to be provided in SIB3/4, thus affecting legacy UEs.</w:t>
      </w:r>
    </w:p>
    <w:p w14:paraId="65D06A41" w14:textId="77777777" w:rsidR="002D3084" w:rsidRPr="00F81859" w:rsidRDefault="002D3084" w:rsidP="002D3084">
      <w:pPr>
        <w:rPr>
          <w:b/>
          <w:iCs/>
        </w:rPr>
      </w:pPr>
      <w:r>
        <w:rPr>
          <w:b/>
          <w:iCs/>
        </w:rPr>
        <w:t>Proposal 1</w:t>
      </w:r>
      <w:r w:rsidRPr="00F81859">
        <w:rPr>
          <w:b/>
          <w:iCs/>
        </w:rPr>
        <w:t xml:space="preserve">: </w:t>
      </w:r>
      <w:r>
        <w:rPr>
          <w:b/>
          <w:iCs/>
        </w:rPr>
        <w:t>Provision of NTN neighbour cell assistance information by a TN cell is not considered in this release.</w:t>
      </w:r>
    </w:p>
    <w:p w14:paraId="59EC5DE8" w14:textId="77777777" w:rsidR="00C13C0D" w:rsidRDefault="0001565F" w:rsidP="00BC680C">
      <w:pPr>
        <w:pStyle w:val="10"/>
        <w:numPr>
          <w:ilvl w:val="0"/>
          <w:numId w:val="12"/>
        </w:numPr>
        <w:spacing w:before="0"/>
        <w:ind w:left="403" w:hanging="403"/>
      </w:pPr>
      <w:r w:rsidRPr="007D3E81">
        <w:t>Reference</w:t>
      </w:r>
      <w:bookmarkEnd w:id="0"/>
    </w:p>
    <w:p w14:paraId="221EF175" w14:textId="6AEFF471" w:rsidR="00A7345B" w:rsidRPr="006E43B3" w:rsidRDefault="006E43B3" w:rsidP="006E43B3">
      <w:pPr>
        <w:numPr>
          <w:ilvl w:val="0"/>
          <w:numId w:val="13"/>
        </w:numPr>
        <w:rPr>
          <w:rFonts w:eastAsia="宋体"/>
          <w:lang w:eastAsia="zh-CN"/>
        </w:rPr>
      </w:pPr>
      <w:bookmarkStart w:id="8" w:name="_Ref149727886"/>
      <w:r w:rsidRPr="006E43B3">
        <w:rPr>
          <w:rFonts w:eastAsia="宋体"/>
          <w:lang w:eastAsia="zh-CN"/>
        </w:rPr>
        <w:t>R4-2207114 WF on NR NTN RRM requirements</w:t>
      </w:r>
      <w:bookmarkEnd w:id="8"/>
    </w:p>
    <w:sectPr w:rsidR="00A7345B" w:rsidRPr="006E43B3"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0D30B" w14:textId="77777777" w:rsidR="00744539" w:rsidRDefault="00744539">
      <w:r>
        <w:separator/>
      </w:r>
    </w:p>
  </w:endnote>
  <w:endnote w:type="continuationSeparator" w:id="0">
    <w:p w14:paraId="4C4D7128" w14:textId="77777777" w:rsidR="00744539" w:rsidRDefault="0074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FE427" w14:textId="77777777" w:rsidR="00744539" w:rsidRDefault="00744539">
      <w:r>
        <w:separator/>
      </w:r>
    </w:p>
  </w:footnote>
  <w:footnote w:type="continuationSeparator" w:id="0">
    <w:p w14:paraId="01D25D96" w14:textId="77777777" w:rsidR="00744539" w:rsidRDefault="00744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5" type="#_x0000_t75" style="width:12.5pt;height:12.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9D46E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26489"/>
    <w:multiLevelType w:val="hybridMultilevel"/>
    <w:tmpl w:val="F6C213FE"/>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C55B16"/>
    <w:multiLevelType w:val="hybridMultilevel"/>
    <w:tmpl w:val="C23C2C94"/>
    <w:lvl w:ilvl="0" w:tplc="848EB6C2">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345565BF"/>
    <w:multiLevelType w:val="hybridMultilevel"/>
    <w:tmpl w:val="E434511E"/>
    <w:lvl w:ilvl="0" w:tplc="438476E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42584"/>
    <w:multiLevelType w:val="hybridMultilevel"/>
    <w:tmpl w:val="84FAD056"/>
    <w:lvl w:ilvl="0" w:tplc="848EB6C2">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8C0C59"/>
    <w:multiLevelType w:val="hybridMultilevel"/>
    <w:tmpl w:val="8A767996"/>
    <w:lvl w:ilvl="0" w:tplc="84BCB66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3850F9"/>
    <w:multiLevelType w:val="hybridMultilevel"/>
    <w:tmpl w:val="576675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4D045D"/>
    <w:multiLevelType w:val="hybridMultilevel"/>
    <w:tmpl w:val="AD38B4AE"/>
    <w:lvl w:ilvl="0" w:tplc="8B9092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57D60827"/>
    <w:multiLevelType w:val="hybridMultilevel"/>
    <w:tmpl w:val="65FCD598"/>
    <w:lvl w:ilvl="0" w:tplc="A6546A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E05EF3"/>
    <w:multiLevelType w:val="hybridMultilevel"/>
    <w:tmpl w:val="0D0CD7CA"/>
    <w:lvl w:ilvl="0" w:tplc="F4BA0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93202B"/>
    <w:multiLevelType w:val="hybridMultilevel"/>
    <w:tmpl w:val="A92EF6C6"/>
    <w:lvl w:ilvl="0" w:tplc="A6546A2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49"/>
  </w:num>
  <w:num w:numId="4">
    <w:abstractNumId w:val="37"/>
  </w:num>
  <w:num w:numId="5">
    <w:abstractNumId w:val="1"/>
  </w:num>
  <w:num w:numId="6">
    <w:abstractNumId w:val="5"/>
  </w:num>
  <w:num w:numId="7">
    <w:abstractNumId w:val="25"/>
  </w:num>
  <w:num w:numId="8">
    <w:abstractNumId w:val="27"/>
  </w:num>
  <w:num w:numId="9">
    <w:abstractNumId w:val="22"/>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43"/>
  </w:num>
  <w:num w:numId="13">
    <w:abstractNumId w:val="42"/>
  </w:num>
  <w:num w:numId="14">
    <w:abstractNumId w:val="6"/>
  </w:num>
  <w:num w:numId="15">
    <w:abstractNumId w:val="0"/>
  </w:num>
  <w:num w:numId="16">
    <w:abstractNumId w:val="48"/>
  </w:num>
  <w:num w:numId="17">
    <w:abstractNumId w:val="20"/>
  </w:num>
  <w:num w:numId="18">
    <w:abstractNumId w:val="39"/>
  </w:num>
  <w:num w:numId="19">
    <w:abstractNumId w:val="14"/>
  </w:num>
  <w:num w:numId="20">
    <w:abstractNumId w:val="13"/>
  </w:num>
  <w:num w:numId="21">
    <w:abstractNumId w:val="19"/>
  </w:num>
  <w:num w:numId="22">
    <w:abstractNumId w:val="4"/>
  </w:num>
  <w:num w:numId="23">
    <w:abstractNumId w:val="21"/>
  </w:num>
  <w:num w:numId="24">
    <w:abstractNumId w:val="28"/>
  </w:num>
  <w:num w:numId="25">
    <w:abstractNumId w:val="44"/>
  </w:num>
  <w:num w:numId="26">
    <w:abstractNumId w:val="23"/>
  </w:num>
  <w:num w:numId="27">
    <w:abstractNumId w:val="32"/>
  </w:num>
  <w:num w:numId="28">
    <w:abstractNumId w:val="15"/>
    <w:lvlOverride w:ilvl="0">
      <w:startOverride w:val="1"/>
    </w:lvlOverride>
  </w:num>
  <w:num w:numId="29">
    <w:abstractNumId w:val="10"/>
  </w:num>
  <w:num w:numId="30">
    <w:abstractNumId w:val="11"/>
  </w:num>
  <w:num w:numId="31">
    <w:abstractNumId w:val="34"/>
  </w:num>
  <w:num w:numId="32">
    <w:abstractNumId w:val="31"/>
  </w:num>
  <w:num w:numId="33">
    <w:abstractNumId w:val="38"/>
  </w:num>
  <w:num w:numId="34">
    <w:abstractNumId w:val="33"/>
  </w:num>
  <w:num w:numId="35">
    <w:abstractNumId w:val="41"/>
  </w:num>
  <w:num w:numId="36">
    <w:abstractNumId w:val="47"/>
  </w:num>
  <w:num w:numId="37">
    <w:abstractNumId w:val="24"/>
  </w:num>
  <w:num w:numId="38">
    <w:abstractNumId w:val="7"/>
  </w:num>
  <w:num w:numId="39">
    <w:abstractNumId w:val="8"/>
  </w:num>
  <w:num w:numId="40">
    <w:abstractNumId w:val="17"/>
  </w:num>
  <w:num w:numId="41">
    <w:abstractNumId w:val="35"/>
  </w:num>
  <w:num w:numId="42">
    <w:abstractNumId w:val="46"/>
  </w:num>
  <w:num w:numId="43">
    <w:abstractNumId w:val="30"/>
  </w:num>
  <w:num w:numId="44">
    <w:abstractNumId w:val="9"/>
  </w:num>
  <w:num w:numId="45">
    <w:abstractNumId w:val="18"/>
  </w:num>
  <w:num w:numId="46">
    <w:abstractNumId w:val="40"/>
  </w:num>
  <w:num w:numId="47">
    <w:abstractNumId w:val="36"/>
  </w:num>
  <w:num w:numId="48">
    <w:abstractNumId w:val="16"/>
  </w:num>
  <w:num w:numId="49">
    <w:abstractNumId w:val="45"/>
  </w:num>
  <w:num w:numId="50">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432"/>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1EC8"/>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BC6"/>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AE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0F25"/>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318"/>
    <w:rsid w:val="00092A2E"/>
    <w:rsid w:val="00092B50"/>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1F8E"/>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09"/>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07"/>
    <w:rsid w:val="000D5C12"/>
    <w:rsid w:val="000D5EC9"/>
    <w:rsid w:val="000D65B0"/>
    <w:rsid w:val="000D6C3C"/>
    <w:rsid w:val="000D6E0B"/>
    <w:rsid w:val="000D771C"/>
    <w:rsid w:val="000E0010"/>
    <w:rsid w:val="000E0250"/>
    <w:rsid w:val="000E02F8"/>
    <w:rsid w:val="000E0583"/>
    <w:rsid w:val="000E080C"/>
    <w:rsid w:val="000E0BBD"/>
    <w:rsid w:val="000E0FE5"/>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4BD"/>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47"/>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35"/>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411"/>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EF0"/>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428"/>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55B"/>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B12"/>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1CA"/>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924"/>
    <w:rsid w:val="00225BF4"/>
    <w:rsid w:val="00225FFD"/>
    <w:rsid w:val="002261DC"/>
    <w:rsid w:val="00226330"/>
    <w:rsid w:val="002263AA"/>
    <w:rsid w:val="00226AA2"/>
    <w:rsid w:val="00226AF5"/>
    <w:rsid w:val="00226B47"/>
    <w:rsid w:val="0022750B"/>
    <w:rsid w:val="0022778E"/>
    <w:rsid w:val="002277A5"/>
    <w:rsid w:val="002278E5"/>
    <w:rsid w:val="002304BA"/>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970"/>
    <w:rsid w:val="00264BB4"/>
    <w:rsid w:val="00265761"/>
    <w:rsid w:val="00265BE2"/>
    <w:rsid w:val="00265CCB"/>
    <w:rsid w:val="00266124"/>
    <w:rsid w:val="00266908"/>
    <w:rsid w:val="00266B61"/>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01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5FF6"/>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EF7"/>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0C8"/>
    <w:rsid w:val="002D2103"/>
    <w:rsid w:val="002D2931"/>
    <w:rsid w:val="002D3084"/>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306"/>
    <w:rsid w:val="00380546"/>
    <w:rsid w:val="00380632"/>
    <w:rsid w:val="003807B1"/>
    <w:rsid w:val="00380B08"/>
    <w:rsid w:val="00380B47"/>
    <w:rsid w:val="00380B8A"/>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20D"/>
    <w:rsid w:val="00384806"/>
    <w:rsid w:val="00384EED"/>
    <w:rsid w:val="003852F4"/>
    <w:rsid w:val="00385A0E"/>
    <w:rsid w:val="00385C66"/>
    <w:rsid w:val="003862C3"/>
    <w:rsid w:val="00386542"/>
    <w:rsid w:val="00386D70"/>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4E4C"/>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4E71"/>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4D97"/>
    <w:rsid w:val="003F5304"/>
    <w:rsid w:val="003F5516"/>
    <w:rsid w:val="003F5CC1"/>
    <w:rsid w:val="003F611F"/>
    <w:rsid w:val="003F6240"/>
    <w:rsid w:val="003F6A59"/>
    <w:rsid w:val="003F6D14"/>
    <w:rsid w:val="003F6D3A"/>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19A"/>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9FB"/>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D22"/>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126"/>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0EE"/>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82"/>
    <w:rsid w:val="005646BF"/>
    <w:rsid w:val="00564AD7"/>
    <w:rsid w:val="005650FA"/>
    <w:rsid w:val="005652C0"/>
    <w:rsid w:val="00565798"/>
    <w:rsid w:val="00565C13"/>
    <w:rsid w:val="005661FB"/>
    <w:rsid w:val="00566602"/>
    <w:rsid w:val="00566805"/>
    <w:rsid w:val="00566854"/>
    <w:rsid w:val="005669B8"/>
    <w:rsid w:val="00566AEB"/>
    <w:rsid w:val="00566BC5"/>
    <w:rsid w:val="00566E95"/>
    <w:rsid w:val="00567522"/>
    <w:rsid w:val="0056791E"/>
    <w:rsid w:val="005679DA"/>
    <w:rsid w:val="00567AA4"/>
    <w:rsid w:val="00567C61"/>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0A1"/>
    <w:rsid w:val="00591676"/>
    <w:rsid w:val="005916CD"/>
    <w:rsid w:val="00591BF9"/>
    <w:rsid w:val="00591CDD"/>
    <w:rsid w:val="00592849"/>
    <w:rsid w:val="0059284C"/>
    <w:rsid w:val="00592E76"/>
    <w:rsid w:val="00593075"/>
    <w:rsid w:val="005936A7"/>
    <w:rsid w:val="005936AE"/>
    <w:rsid w:val="005936AF"/>
    <w:rsid w:val="00594386"/>
    <w:rsid w:val="005944E5"/>
    <w:rsid w:val="00594C52"/>
    <w:rsid w:val="00594D5B"/>
    <w:rsid w:val="00594F57"/>
    <w:rsid w:val="00595026"/>
    <w:rsid w:val="00595525"/>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14"/>
    <w:rsid w:val="005D1F1A"/>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1551"/>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75"/>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0EBD"/>
    <w:rsid w:val="005F10A0"/>
    <w:rsid w:val="005F1896"/>
    <w:rsid w:val="005F26A0"/>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C44"/>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174A4"/>
    <w:rsid w:val="00617BA7"/>
    <w:rsid w:val="006201A2"/>
    <w:rsid w:val="00620425"/>
    <w:rsid w:val="006204E4"/>
    <w:rsid w:val="006209D5"/>
    <w:rsid w:val="00620B0F"/>
    <w:rsid w:val="00620E17"/>
    <w:rsid w:val="006214DA"/>
    <w:rsid w:val="006215B3"/>
    <w:rsid w:val="00621A44"/>
    <w:rsid w:val="00621D26"/>
    <w:rsid w:val="00621D3A"/>
    <w:rsid w:val="006228A1"/>
    <w:rsid w:val="00622936"/>
    <w:rsid w:val="0062335A"/>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83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3FA"/>
    <w:rsid w:val="00697D8C"/>
    <w:rsid w:val="00697F40"/>
    <w:rsid w:val="006A071E"/>
    <w:rsid w:val="006A0971"/>
    <w:rsid w:val="006A0F09"/>
    <w:rsid w:val="006A0FB8"/>
    <w:rsid w:val="006A1256"/>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175"/>
    <w:rsid w:val="006B4514"/>
    <w:rsid w:val="006B4B82"/>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3B3"/>
    <w:rsid w:val="006E444F"/>
    <w:rsid w:val="006E46B3"/>
    <w:rsid w:val="006E4ACE"/>
    <w:rsid w:val="006E5077"/>
    <w:rsid w:val="006E5105"/>
    <w:rsid w:val="006E5306"/>
    <w:rsid w:val="006E59BA"/>
    <w:rsid w:val="006E5C7A"/>
    <w:rsid w:val="006E62E4"/>
    <w:rsid w:val="006E64D9"/>
    <w:rsid w:val="006E684A"/>
    <w:rsid w:val="006E6850"/>
    <w:rsid w:val="006E6C31"/>
    <w:rsid w:val="006E7F17"/>
    <w:rsid w:val="006E7F5A"/>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4D9"/>
    <w:rsid w:val="0071477E"/>
    <w:rsid w:val="00714CDC"/>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4EEC"/>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539"/>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AD"/>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2C"/>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B6B"/>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944"/>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2D81"/>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03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B0D"/>
    <w:rsid w:val="00851FCE"/>
    <w:rsid w:val="00852035"/>
    <w:rsid w:val="008523D1"/>
    <w:rsid w:val="008525BE"/>
    <w:rsid w:val="00852909"/>
    <w:rsid w:val="00852DAF"/>
    <w:rsid w:val="00853023"/>
    <w:rsid w:val="0085308A"/>
    <w:rsid w:val="008534F9"/>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957"/>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3B"/>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2D19"/>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698"/>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816"/>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52"/>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5D4"/>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03B"/>
    <w:rsid w:val="00976121"/>
    <w:rsid w:val="009762E4"/>
    <w:rsid w:val="009764BB"/>
    <w:rsid w:val="00976E67"/>
    <w:rsid w:val="00976F74"/>
    <w:rsid w:val="00977724"/>
    <w:rsid w:val="00980067"/>
    <w:rsid w:val="009800D8"/>
    <w:rsid w:val="009810BD"/>
    <w:rsid w:val="009815A8"/>
    <w:rsid w:val="0098178D"/>
    <w:rsid w:val="00981B7A"/>
    <w:rsid w:val="00981C3E"/>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B8"/>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05B2"/>
    <w:rsid w:val="009F1177"/>
    <w:rsid w:val="009F156F"/>
    <w:rsid w:val="009F21D4"/>
    <w:rsid w:val="009F2DE1"/>
    <w:rsid w:val="009F37F6"/>
    <w:rsid w:val="009F3E60"/>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45B"/>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2B91"/>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5725"/>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CFF"/>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5FA9"/>
    <w:rsid w:val="00AE63CD"/>
    <w:rsid w:val="00AE67CD"/>
    <w:rsid w:val="00AE6F49"/>
    <w:rsid w:val="00AE70B4"/>
    <w:rsid w:val="00AE711B"/>
    <w:rsid w:val="00AE7250"/>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4D5"/>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43"/>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3B"/>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6B8E"/>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061"/>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C13"/>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45C6"/>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1F83"/>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12"/>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57DF"/>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27DE"/>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192"/>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A5E"/>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793"/>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4B42"/>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175"/>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9"/>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C19"/>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35E"/>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571"/>
    <w:rsid w:val="00DD55D9"/>
    <w:rsid w:val="00DD5AE1"/>
    <w:rsid w:val="00DD6358"/>
    <w:rsid w:val="00DD64A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0D34"/>
    <w:rsid w:val="00E214EB"/>
    <w:rsid w:val="00E214FE"/>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9AA"/>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4DD9"/>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BE6"/>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9A3"/>
    <w:rsid w:val="00EC5E35"/>
    <w:rsid w:val="00EC5F35"/>
    <w:rsid w:val="00EC61CB"/>
    <w:rsid w:val="00EC70E5"/>
    <w:rsid w:val="00EC797B"/>
    <w:rsid w:val="00EC7A81"/>
    <w:rsid w:val="00EC7C1B"/>
    <w:rsid w:val="00EC7C65"/>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029B"/>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5FE4"/>
    <w:rsid w:val="00F16032"/>
    <w:rsid w:val="00F16BFF"/>
    <w:rsid w:val="00F16FBC"/>
    <w:rsid w:val="00F170A6"/>
    <w:rsid w:val="00F20602"/>
    <w:rsid w:val="00F20707"/>
    <w:rsid w:val="00F207D5"/>
    <w:rsid w:val="00F2095B"/>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77"/>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15C"/>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965"/>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97FE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9F2"/>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6D7C"/>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911"/>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0Maintext">
    <w:name w:val="0 Main text"/>
    <w:basedOn w:val="a2"/>
    <w:link w:val="0MaintextChar"/>
    <w:qFormat/>
    <w:rsid w:val="000F74BD"/>
    <w:pPr>
      <w:spacing w:after="100" w:afterAutospacing="1" w:line="288" w:lineRule="auto"/>
      <w:ind w:firstLine="360"/>
      <w:jc w:val="both"/>
    </w:pPr>
    <w:rPr>
      <w:rFonts w:cs="Batang"/>
    </w:rPr>
  </w:style>
  <w:style w:type="character" w:customStyle="1" w:styleId="0MaintextChar">
    <w:name w:val="0 Main text Char"/>
    <w:basedOn w:val="a3"/>
    <w:link w:val="0Maintext"/>
    <w:rsid w:val="000F74BD"/>
    <w:rPr>
      <w:rFonts w:eastAsia="Times New Roman" w:cs="Batang"/>
      <w:lang w:val="en-GB" w:eastAsia="en-US"/>
    </w:rPr>
  </w:style>
  <w:style w:type="character" w:customStyle="1" w:styleId="CommentsChar">
    <w:name w:val="Comments Char"/>
    <w:link w:val="Comments"/>
    <w:qFormat/>
    <w:locked/>
    <w:rsid w:val="00385C66"/>
    <w:rPr>
      <w:rFonts w:ascii="Arial" w:hAnsi="Arial" w:cs="Arial"/>
      <w:i/>
      <w:noProof/>
      <w:sz w:val="18"/>
      <w:szCs w:val="24"/>
    </w:rPr>
  </w:style>
  <w:style w:type="paragraph" w:customStyle="1" w:styleId="Comments">
    <w:name w:val="Comments"/>
    <w:basedOn w:val="a2"/>
    <w:link w:val="CommentsChar"/>
    <w:qFormat/>
    <w:rsid w:val="00385C66"/>
    <w:pPr>
      <w:spacing w:before="40" w:after="0"/>
    </w:pPr>
    <w:rPr>
      <w:rFonts w:ascii="Arial" w:eastAsia="MS Mincho" w:hAnsi="Arial" w:cs="Arial"/>
      <w:i/>
      <w:noProof/>
      <w:sz w:val="18"/>
      <w:szCs w:val="24"/>
      <w:lang w:val="en-US" w:eastAsia="zh-CN"/>
    </w:rPr>
  </w:style>
  <w:style w:type="paragraph" w:customStyle="1" w:styleId="Agreement">
    <w:name w:val="Agreement"/>
    <w:basedOn w:val="a2"/>
    <w:next w:val="Doc-text2"/>
    <w:qFormat/>
    <w:rsid w:val="00385C66"/>
    <w:pPr>
      <w:numPr>
        <w:numId w:val="4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5922306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296438">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250121742">
      <w:bodyDiv w:val="1"/>
      <w:marLeft w:val="0"/>
      <w:marRight w:val="0"/>
      <w:marTop w:val="0"/>
      <w:marBottom w:val="0"/>
      <w:divBdr>
        <w:top w:val="none" w:sz="0" w:space="0" w:color="auto"/>
        <w:left w:val="none" w:sz="0" w:space="0" w:color="auto"/>
        <w:bottom w:val="none" w:sz="0" w:space="0" w:color="auto"/>
        <w:right w:val="none" w:sz="0" w:space="0" w:color="auto"/>
      </w:divBdr>
    </w:div>
    <w:div w:id="1329672624">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624572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5124895">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4287600">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06610156">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A509E-0805-46B4-928D-BCC0368CA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4182</TotalTime>
  <Pages>3</Pages>
  <Words>1481</Words>
  <Characters>8446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350</cp:revision>
  <dcterms:created xsi:type="dcterms:W3CDTF">2023-04-05T05:33:00Z</dcterms:created>
  <dcterms:modified xsi:type="dcterms:W3CDTF">2023-11-03T07:39:00Z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(3)832/rftYvq82j7OADZFhBEZ3ZL0lKH/X62wI9a2wFlbqxc5l/BXEYwJ23WMdjkrHXhRSatWn
tU476HJ+Ma5mva5NQrigZ+pB6tDl9hpG8G846+ElMXsgCefHTnB3bOVes+EqCJ1zDQ9yvYPD
iOS3HPP/PAx8hKfDjT1Qs1es4P4bzh9MN55SZyC7CxOuwRp7RrCogv/F6vqpEPcJSU1+ym1l
OGSMFIUVjUs/fje5ps</vt:lpwstr>
  </property>
  <property fmtid="{D5CDD505-2E9C-101B-9397-08002B2CF9AE}" pid="3" name="_2015_ms_pID_7253431">
    <vt:lpwstr>kAKPOd7izdTYbhmjTKGu5sDPyRcqdGytXFWHTW6018Q++o2KfOkFhs
HcmlxzjA34qfdMykN5DW9OSepbYHWDJN9Jcb6ydOl05abdqaH75PDnXyPgDepSKvDgIzPV8M
aCqhxR2ghhjsgN8SrmQxAFoUyHAQJrcmBdg4j+hrlNuoSxlshU2STCDg3QzDnwj6Pr9d1tzk
km1Qpp8+ZMpzE0mHbGnzES7GlMCuX9IvqoU+</vt:lpwstr>
  </property>
  <property fmtid="{D5CDD505-2E9C-101B-9397-08002B2CF9AE}" pid="4" name="_2015_ms_pID_7253432">
    <vt:lpwstr>TNNndeua2JaGgwK6Wd9/GC8=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1698226989</vt:lpwstr>
  </property>
</Properties>
</file>